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C62C8" w14:textId="176027FE" w:rsidR="003648D6" w:rsidRDefault="00915DC1" w:rsidP="00915DC1">
      <w:pPr>
        <w:pStyle w:val="Frspaiere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en-US"/>
        </w:rPr>
        <w:t xml:space="preserve">IASI, </w:t>
      </w:r>
      <w:r w:rsidR="00D43F21">
        <w:rPr>
          <w:rFonts w:ascii="Times New Roman" w:hAnsi="Times New Roman"/>
          <w:b/>
          <w:lang w:val="en-US"/>
        </w:rPr>
        <w:t>UNIVERSITY</w:t>
      </w:r>
      <w:r>
        <w:rPr>
          <w:rFonts w:ascii="Times New Roman" w:hAnsi="Times New Roman"/>
          <w:b/>
          <w:lang w:val="fr-FR"/>
        </w:rPr>
        <w:t xml:space="preserve"> OF </w:t>
      </w:r>
      <w:r>
        <w:rPr>
          <w:rFonts w:ascii="Times New Roman" w:hAnsi="Times New Roman"/>
          <w:b/>
          <w:lang w:val="en-US"/>
        </w:rPr>
        <w:t>LIFE SCIENCES</w:t>
      </w:r>
    </w:p>
    <w:p w14:paraId="6D1FEA30" w14:textId="7C6817D7" w:rsidR="00915DC1" w:rsidRPr="00D43F21" w:rsidRDefault="00915DC1" w:rsidP="00915DC1">
      <w:pPr>
        <w:pStyle w:val="Frspaiere"/>
        <w:jc w:val="both"/>
        <w:rPr>
          <w:rFonts w:ascii="Times New Roman" w:hAnsi="Times New Roman"/>
          <w:b/>
          <w:lang w:val="fr-FR"/>
        </w:rPr>
      </w:pPr>
      <w:r w:rsidRPr="00D43F21">
        <w:rPr>
          <w:rFonts w:ascii="Times New Roman" w:hAnsi="Times New Roman"/>
          <w:b/>
          <w:lang w:val="fr-FR"/>
        </w:rPr>
        <w:t>„ION IONESCU DE LA BRAD”</w:t>
      </w:r>
    </w:p>
    <w:p w14:paraId="27E387D8" w14:textId="77777777" w:rsidR="003648D6" w:rsidRPr="009C0FA1" w:rsidRDefault="00780252" w:rsidP="00CF5FDA">
      <w:pPr>
        <w:pStyle w:val="Frspaiere"/>
        <w:jc w:val="both"/>
        <w:rPr>
          <w:rFonts w:ascii="Times New Roman" w:hAnsi="Times New Roman"/>
          <w:b/>
          <w:lang w:val="en-US"/>
        </w:rPr>
      </w:pPr>
      <w:r w:rsidRPr="009C0FA1">
        <w:rPr>
          <w:rFonts w:ascii="Times New Roman" w:hAnsi="Times New Roman"/>
          <w:b/>
          <w:lang w:val="en-US"/>
        </w:rPr>
        <w:t>POSITIONS FOR TENDER</w:t>
      </w:r>
      <w:r w:rsidR="003648D6" w:rsidRPr="009C0FA1">
        <w:rPr>
          <w:rFonts w:ascii="Times New Roman" w:hAnsi="Times New Roman"/>
          <w:b/>
          <w:lang w:val="en-US"/>
        </w:rPr>
        <w:t xml:space="preserve"> – </w:t>
      </w:r>
      <w:r w:rsidRPr="009C0FA1">
        <w:rPr>
          <w:rFonts w:ascii="Times New Roman" w:hAnsi="Times New Roman"/>
          <w:b/>
          <w:lang w:val="en-US"/>
        </w:rPr>
        <w:t>SEM. II</w:t>
      </w:r>
    </w:p>
    <w:p w14:paraId="5EDF2BC7" w14:textId="07D3D2ED" w:rsidR="003648D6" w:rsidRPr="009C0FA1" w:rsidRDefault="00780252" w:rsidP="00CF5FDA">
      <w:pPr>
        <w:pStyle w:val="Frspaiere"/>
        <w:jc w:val="both"/>
        <w:rPr>
          <w:rFonts w:ascii="Times New Roman" w:hAnsi="Times New Roman"/>
          <w:b/>
          <w:lang w:val="en-US"/>
        </w:rPr>
      </w:pPr>
      <w:r w:rsidRPr="009C0FA1">
        <w:rPr>
          <w:rFonts w:ascii="Times New Roman" w:hAnsi="Times New Roman"/>
          <w:b/>
          <w:lang w:val="en-US"/>
        </w:rPr>
        <w:t xml:space="preserve">ACADEMIC YEAR </w:t>
      </w:r>
      <w:r w:rsidR="00C77844" w:rsidRPr="009C0FA1">
        <w:rPr>
          <w:rFonts w:ascii="Times New Roman" w:hAnsi="Times New Roman"/>
          <w:b/>
          <w:lang w:val="en-US"/>
        </w:rPr>
        <w:t>20</w:t>
      </w:r>
      <w:r w:rsidR="009C0FA1" w:rsidRPr="009C0FA1">
        <w:rPr>
          <w:rFonts w:ascii="Times New Roman" w:hAnsi="Times New Roman"/>
          <w:b/>
          <w:lang w:val="en-US"/>
        </w:rPr>
        <w:t>20</w:t>
      </w:r>
      <w:r w:rsidR="00C77844" w:rsidRPr="009C0FA1">
        <w:rPr>
          <w:rFonts w:ascii="Times New Roman" w:hAnsi="Times New Roman"/>
          <w:b/>
          <w:lang w:val="en-US"/>
        </w:rPr>
        <w:t>/20</w:t>
      </w:r>
      <w:r w:rsidR="009C0FA1" w:rsidRPr="009C0FA1">
        <w:rPr>
          <w:rFonts w:ascii="Times New Roman" w:hAnsi="Times New Roman"/>
          <w:b/>
          <w:lang w:val="en-US"/>
        </w:rPr>
        <w:t>21</w:t>
      </w:r>
    </w:p>
    <w:p w14:paraId="329F67FB" w14:textId="5EEAF052" w:rsidR="003648D6" w:rsidRDefault="003648D6" w:rsidP="00CF5FDA">
      <w:pPr>
        <w:pStyle w:val="Frspaiere"/>
        <w:jc w:val="both"/>
        <w:rPr>
          <w:rFonts w:ascii="Times New Roman" w:hAnsi="Times New Roman"/>
          <w:b/>
          <w:lang w:val="en-US"/>
        </w:rPr>
      </w:pPr>
    </w:p>
    <w:p w14:paraId="76126AB4" w14:textId="3B947154" w:rsidR="00915DC1" w:rsidRDefault="00915DC1" w:rsidP="00CF5FDA">
      <w:pPr>
        <w:pStyle w:val="Frspaiere"/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</w:p>
    <w:p w14:paraId="48CC79C2" w14:textId="77777777" w:rsidR="00915DC1" w:rsidRPr="009C0FA1" w:rsidRDefault="00915DC1" w:rsidP="00CF5FDA">
      <w:pPr>
        <w:pStyle w:val="Frspaiere"/>
        <w:jc w:val="both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68"/>
        <w:gridCol w:w="6842"/>
      </w:tblGrid>
      <w:tr w:rsidR="00915DC1" w:rsidRPr="00915DC1" w14:paraId="3FA1E47A" w14:textId="77777777" w:rsidTr="00915DC1">
        <w:tc>
          <w:tcPr>
            <w:tcW w:w="9854" w:type="dxa"/>
            <w:gridSpan w:val="2"/>
          </w:tcPr>
          <w:p w14:paraId="2864D73C" w14:textId="77777777" w:rsidR="003648D6" w:rsidRPr="00915DC1" w:rsidRDefault="00927894" w:rsidP="00CF5FDA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DESCRIPTION OF VACANT POSITION</w:t>
            </w:r>
            <w:r w:rsidR="007C32B9"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r w:rsidR="0018757D"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FOR TENDER</w:t>
            </w:r>
          </w:p>
        </w:tc>
      </w:tr>
      <w:tr w:rsidR="00915DC1" w:rsidRPr="00915DC1" w14:paraId="4AE81A76" w14:textId="77777777" w:rsidTr="00915DC1">
        <w:tc>
          <w:tcPr>
            <w:tcW w:w="2660" w:type="dxa"/>
          </w:tcPr>
          <w:p w14:paraId="40C6E154" w14:textId="77777777" w:rsidR="003648D6" w:rsidRPr="00915DC1" w:rsidRDefault="00FC2F0E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Position</w:t>
            </w:r>
          </w:p>
        </w:tc>
        <w:tc>
          <w:tcPr>
            <w:tcW w:w="7194" w:type="dxa"/>
          </w:tcPr>
          <w:p w14:paraId="28BF3885" w14:textId="77777777" w:rsidR="003648D6" w:rsidRPr="00915DC1" w:rsidRDefault="00FC2F0E" w:rsidP="00CF5FDA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Associate Professor</w:t>
            </w:r>
          </w:p>
        </w:tc>
      </w:tr>
      <w:tr w:rsidR="00915DC1" w:rsidRPr="00915DC1" w14:paraId="0C254CFA" w14:textId="77777777" w:rsidTr="00915DC1">
        <w:tc>
          <w:tcPr>
            <w:tcW w:w="2660" w:type="dxa"/>
          </w:tcPr>
          <w:p w14:paraId="454BFA08" w14:textId="77777777" w:rsidR="003648D6" w:rsidRPr="00915DC1" w:rsidRDefault="00780252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Position in job list</w:t>
            </w:r>
          </w:p>
        </w:tc>
        <w:tc>
          <w:tcPr>
            <w:tcW w:w="7194" w:type="dxa"/>
          </w:tcPr>
          <w:p w14:paraId="0EC3E498" w14:textId="7D3A247D" w:rsidR="003648D6" w:rsidRPr="00915DC1" w:rsidRDefault="003648D6" w:rsidP="00CF5FDA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X/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11</w:t>
            </w:r>
          </w:p>
        </w:tc>
      </w:tr>
      <w:tr w:rsidR="00915DC1" w:rsidRPr="00915DC1" w14:paraId="213DA06A" w14:textId="77777777" w:rsidTr="00915DC1">
        <w:tc>
          <w:tcPr>
            <w:tcW w:w="2660" w:type="dxa"/>
          </w:tcPr>
          <w:p w14:paraId="0E06B750" w14:textId="77777777" w:rsidR="003648D6" w:rsidRPr="00915DC1" w:rsidRDefault="00780252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Faculty</w:t>
            </w:r>
          </w:p>
        </w:tc>
        <w:tc>
          <w:tcPr>
            <w:tcW w:w="7194" w:type="dxa"/>
          </w:tcPr>
          <w:p w14:paraId="32B33D26" w14:textId="77777777" w:rsidR="003648D6" w:rsidRPr="00915DC1" w:rsidRDefault="00FC2F0E" w:rsidP="00FC2F0E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Veterinary Medicine</w:t>
            </w:r>
          </w:p>
        </w:tc>
      </w:tr>
      <w:tr w:rsidR="00915DC1" w:rsidRPr="00915DC1" w14:paraId="57051413" w14:textId="77777777" w:rsidTr="00915DC1">
        <w:tc>
          <w:tcPr>
            <w:tcW w:w="2660" w:type="dxa"/>
          </w:tcPr>
          <w:p w14:paraId="543FD288" w14:textId="77777777" w:rsidR="003648D6" w:rsidRPr="00915DC1" w:rsidRDefault="00780252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Department</w:t>
            </w:r>
          </w:p>
        </w:tc>
        <w:tc>
          <w:tcPr>
            <w:tcW w:w="7194" w:type="dxa"/>
          </w:tcPr>
          <w:p w14:paraId="2F7C84F2" w14:textId="0081C0F5" w:rsidR="003648D6" w:rsidRPr="00915DC1" w:rsidRDefault="006B61D8" w:rsidP="00CF5FDA">
            <w:pPr>
              <w:pStyle w:val="Frspaiere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Public Health (X)</w:t>
            </w:r>
          </w:p>
        </w:tc>
      </w:tr>
      <w:tr w:rsidR="00915DC1" w:rsidRPr="00915DC1" w14:paraId="33B688B4" w14:textId="77777777" w:rsidTr="00915DC1">
        <w:tc>
          <w:tcPr>
            <w:tcW w:w="2660" w:type="dxa"/>
          </w:tcPr>
          <w:p w14:paraId="78E006C6" w14:textId="77777777" w:rsidR="003648D6" w:rsidRPr="00915DC1" w:rsidRDefault="00306C25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Courses in the teaching curriculum</w:t>
            </w:r>
          </w:p>
        </w:tc>
        <w:tc>
          <w:tcPr>
            <w:tcW w:w="7194" w:type="dxa"/>
          </w:tcPr>
          <w:p w14:paraId="4570CD05" w14:textId="7BB365FE" w:rsidR="003648D6" w:rsidRPr="00915DC1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 w:rsidR="001B6316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6B61D8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Anatomy (E)</w:t>
            </w:r>
          </w:p>
          <w:p w14:paraId="137612A9" w14:textId="0D6CEC85" w:rsidR="003648D6" w:rsidRPr="00915DC1" w:rsidRDefault="001B6316" w:rsidP="00306C25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- </w:t>
            </w:r>
            <w:r w:rsidR="006B61D8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Experimental medicine</w:t>
            </w:r>
            <w:r w:rsidR="00306C25" w:rsidRPr="00915DC1">
              <w:rPr>
                <w:rFonts w:ascii="Times New Roman" w:hAnsi="Times New Roman"/>
                <w:i/>
                <w:color w:val="000000" w:themeColor="text1"/>
                <w:lang w:val="en-US"/>
              </w:rPr>
              <w:t xml:space="preserve"> </w:t>
            </w:r>
          </w:p>
        </w:tc>
      </w:tr>
      <w:tr w:rsidR="00915DC1" w:rsidRPr="00915DC1" w14:paraId="6E3B21DA" w14:textId="77777777" w:rsidTr="00915DC1">
        <w:tc>
          <w:tcPr>
            <w:tcW w:w="2660" w:type="dxa"/>
          </w:tcPr>
          <w:p w14:paraId="7CA73AC7" w14:textId="77777777" w:rsidR="003648D6" w:rsidRPr="00915DC1" w:rsidRDefault="00306C25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Scientific area</w:t>
            </w:r>
          </w:p>
        </w:tc>
        <w:tc>
          <w:tcPr>
            <w:tcW w:w="7194" w:type="dxa"/>
          </w:tcPr>
          <w:p w14:paraId="3686D8E2" w14:textId="77777777" w:rsidR="003648D6" w:rsidRPr="00915DC1" w:rsidRDefault="00306C25" w:rsidP="00CF5FDA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Veterinary Medicine</w:t>
            </w:r>
          </w:p>
        </w:tc>
      </w:tr>
      <w:tr w:rsidR="00915DC1" w:rsidRPr="00915DC1" w14:paraId="71F03B00" w14:textId="77777777" w:rsidTr="00915DC1">
        <w:tc>
          <w:tcPr>
            <w:tcW w:w="2660" w:type="dxa"/>
          </w:tcPr>
          <w:p w14:paraId="6D8E9A89" w14:textId="6D27660E" w:rsidR="003648D6" w:rsidRPr="00915DC1" w:rsidRDefault="00DD7FC1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Position description</w:t>
            </w:r>
          </w:p>
        </w:tc>
        <w:tc>
          <w:tcPr>
            <w:tcW w:w="7194" w:type="dxa"/>
          </w:tcPr>
          <w:p w14:paraId="12CB5ACE" w14:textId="48C01D83" w:rsidR="00DF37AD" w:rsidRPr="00915DC1" w:rsidRDefault="00DF37AD" w:rsidP="00915D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The associate professor position for indefinite period, vacant, no. X/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11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, provided in the List of </w:t>
            </w:r>
            <w:r w:rsidR="009C0FA1" w:rsidRPr="00915DC1">
              <w:rPr>
                <w:rFonts w:ascii="Times New Roman" w:hAnsi="Times New Roman"/>
                <w:color w:val="000000" w:themeColor="text1"/>
                <w:lang w:val="en-US"/>
              </w:rPr>
              <w:t>J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obs and </w:t>
            </w:r>
            <w:r w:rsidR="009C0FA1" w:rsidRPr="00915DC1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cademic </w:t>
            </w:r>
            <w:r w:rsidR="009C0FA1" w:rsidRPr="00915DC1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taff </w:t>
            </w:r>
            <w:r w:rsidR="00E8561E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of Public Health Department,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as approved for the academic year 20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–20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21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, comprises a quota of 12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0 conventional hours, assigned with course and practica</w:t>
            </w:r>
            <w:r w:rsidR="009C0FA1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l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hours, with the following semestrial distribution:</w:t>
            </w:r>
          </w:p>
          <w:p w14:paraId="0426F21C" w14:textId="2B94DE39" w:rsidR="00C00247" w:rsidRPr="00915DC1" w:rsidRDefault="00DF37AD" w:rsidP="00915D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6B61D8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Anatomy</w:t>
            </w:r>
            <w:r w:rsidR="00D12F25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(E) (</w:t>
            </w:r>
            <w:r w:rsidR="00D12F25" w:rsidRPr="00915DC1">
              <w:rPr>
                <w:rFonts w:ascii="Times New Roman" w:hAnsi="Times New Roman"/>
                <w:color w:val="000000" w:themeColor="text1"/>
                <w:lang w:val="en-US"/>
              </w:rPr>
              <w:t>First year of study)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, course 2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0 </w:t>
            </w:r>
            <w:r w:rsidR="004103EA" w:rsidRPr="00915DC1">
              <w:rPr>
                <w:rFonts w:ascii="Times New Roman" w:hAnsi="Times New Roman"/>
                <w:color w:val="000000" w:themeColor="text1"/>
                <w:lang w:val="en-US"/>
              </w:rPr>
              <w:t>hours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>/week/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sem.</w:t>
            </w:r>
            <w:r w:rsidR="00AC1AAC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I, course 2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0 hours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>/week/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sem.</w:t>
            </w:r>
            <w:r w:rsidR="00AC1AAC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II, with the</w:t>
            </w:r>
            <w:r w:rsidR="00AC1AAC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average of </w:t>
            </w:r>
            <w:r w:rsidR="00690B26" w:rsidRPr="00915DC1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0 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hours</w:t>
            </w:r>
            <w:r w:rsidR="00C00247" w:rsidRPr="00915DC1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week</w:t>
            </w:r>
            <w:r w:rsidR="00C00247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7C01F3BB" w14:textId="7B3D926A" w:rsidR="003648D6" w:rsidRPr="00915DC1" w:rsidRDefault="00DF37AD" w:rsidP="00915D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6B61D8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Experimental medicine</w:t>
            </w:r>
            <w:r w:rsidR="00D12F25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(</w:t>
            </w:r>
            <w:r w:rsidR="00D12F25" w:rsidRPr="00915DC1">
              <w:rPr>
                <w:rFonts w:ascii="Times New Roman" w:hAnsi="Times New Roman"/>
                <w:color w:val="000000" w:themeColor="text1"/>
                <w:lang w:val="en-US"/>
              </w:rPr>
              <w:t>Fifth year of study</w:t>
            </w:r>
            <w:r w:rsidR="00D12F25" w:rsidRPr="00915DC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)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course 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2.0 hours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>/week/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sem. II, with an average of </w:t>
            </w:r>
            <w:r w:rsidR="00690B26" w:rsidRPr="00915DC1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.0</w:t>
            </w:r>
            <w:r w:rsidR="00C00247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hours/week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and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practical courses 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10.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0 hours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>/week/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sem. I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I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, average of 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5.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="00C00247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hours/week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</w:tr>
      <w:tr w:rsidR="00915DC1" w:rsidRPr="00915DC1" w14:paraId="18496E68" w14:textId="77777777" w:rsidTr="00915DC1">
        <w:tc>
          <w:tcPr>
            <w:tcW w:w="2660" w:type="dxa"/>
          </w:tcPr>
          <w:p w14:paraId="281468C3" w14:textId="43C67CCB" w:rsidR="003648D6" w:rsidRPr="00915DC1" w:rsidRDefault="00DD7FC1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Position-specific activities</w:t>
            </w:r>
          </w:p>
        </w:tc>
        <w:tc>
          <w:tcPr>
            <w:tcW w:w="7194" w:type="dxa"/>
          </w:tcPr>
          <w:p w14:paraId="3203BAC3" w14:textId="3DC208D3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Holding courses and practical courses for the </w:t>
            </w:r>
            <w:r w:rsidR="00AC1AAC" w:rsidRPr="00915DC1">
              <w:rPr>
                <w:rFonts w:ascii="Times New Roman" w:hAnsi="Times New Roman"/>
                <w:color w:val="000000" w:themeColor="text1"/>
                <w:lang w:val="en-US"/>
              </w:rPr>
              <w:t>disciplines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specified in the position list, position X/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11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;</w:t>
            </w:r>
          </w:p>
          <w:p w14:paraId="54208DFA" w14:textId="1F4B229B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Preparation of the academic 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and laboratory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activity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: sampling specimens for laboratory exams, </w:t>
            </w:r>
            <w:r w:rsidR="00FA5978" w:rsidRPr="00915DC1">
              <w:rPr>
                <w:rFonts w:ascii="Times New Roman" w:hAnsi="Times New Roman"/>
                <w:color w:val="000000" w:themeColor="text1"/>
                <w:lang w:val="en-US"/>
              </w:rPr>
              <w:t>paraclinical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exams, </w:t>
            </w:r>
            <w:r w:rsidR="00FA5978" w:rsidRPr="00915DC1">
              <w:rPr>
                <w:rFonts w:ascii="Times New Roman" w:hAnsi="Times New Roman"/>
                <w:color w:val="000000" w:themeColor="text1"/>
                <w:lang w:val="en-US"/>
              </w:rPr>
              <w:t>preparation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of the didactic anatomical pieces</w:t>
            </w:r>
          </w:p>
          <w:p w14:paraId="7FF38011" w14:textId="2BCE43E9" w:rsidR="00A55BAD" w:rsidRPr="00915DC1" w:rsidRDefault="00894684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Developing </w:t>
            </w:r>
            <w:r w:rsidR="00A55BAD" w:rsidRPr="00915DC1">
              <w:rPr>
                <w:rFonts w:ascii="Times New Roman" w:hAnsi="Times New Roman"/>
                <w:color w:val="000000" w:themeColor="text1"/>
                <w:lang w:val="en-US"/>
              </w:rPr>
              <w:t>teaching materials in the languages: Romanian and English;</w:t>
            </w:r>
          </w:p>
          <w:p w14:paraId="778F75B5" w14:textId="55387E36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Assessment papers;</w:t>
            </w:r>
          </w:p>
          <w:p w14:paraId="55A399B0" w14:textId="77777777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Consultations for students granted in the courses quota;</w:t>
            </w:r>
          </w:p>
          <w:p w14:paraId="004BD560" w14:textId="77777777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Scientific research activity:</w:t>
            </w:r>
          </w:p>
          <w:p w14:paraId="78456E95" w14:textId="5370DF68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Participation to scientific events;</w:t>
            </w:r>
          </w:p>
          <w:p w14:paraId="1AB03881" w14:textId="06E48F22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Activities related to promotion and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relations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with the economic environment;</w:t>
            </w:r>
          </w:p>
          <w:p w14:paraId="75745DCA" w14:textId="77777777" w:rsidR="00A55BAD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Participation to civic, cultural, administrative and assessment activities initiated by the University;</w:t>
            </w:r>
          </w:p>
          <w:p w14:paraId="67E35BE6" w14:textId="61CC6DE4" w:rsidR="003648D6" w:rsidRPr="00915DC1" w:rsidRDefault="00A55BAD" w:rsidP="00915DC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Other activities for practical and theoretical preparation of the students;</w:t>
            </w:r>
          </w:p>
        </w:tc>
      </w:tr>
      <w:tr w:rsidR="00915DC1" w:rsidRPr="00915DC1" w14:paraId="7874CA13" w14:textId="77777777" w:rsidTr="00915DC1">
        <w:tc>
          <w:tcPr>
            <w:tcW w:w="2660" w:type="dxa"/>
          </w:tcPr>
          <w:p w14:paraId="541D5C2E" w14:textId="33778463" w:rsidR="003648D6" w:rsidRPr="00915DC1" w:rsidRDefault="00DD7FC1" w:rsidP="00DD7FC1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Topics for the competition</w:t>
            </w:r>
          </w:p>
        </w:tc>
        <w:tc>
          <w:tcPr>
            <w:tcW w:w="7194" w:type="dxa"/>
          </w:tcPr>
          <w:p w14:paraId="056626BC" w14:textId="051D7D93" w:rsidR="003648D6" w:rsidRPr="00915DC1" w:rsidRDefault="002A4D8E" w:rsidP="002A4D8E">
            <w:pPr>
              <w:pStyle w:val="Frspaiere"/>
              <w:tabs>
                <w:tab w:val="left" w:pos="459"/>
              </w:tabs>
              <w:ind w:firstLine="283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Topics</w:t>
            </w:r>
          </w:p>
          <w:p w14:paraId="77592EC2" w14:textId="2A69936C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The systematization of the body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apparatus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and systems, the anatomical plans, terminology used in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natomy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0F2FB4A8" w14:textId="207B53ED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The axial and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appendicular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skeleton in domestic mammals and birds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34323D8A" w14:textId="65D443F8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The </w:t>
            </w:r>
            <w:proofErr w:type="spellStart"/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rthrology</w:t>
            </w:r>
            <w:proofErr w:type="spellEnd"/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: classification of joints, the </w:t>
            </w:r>
            <w:proofErr w:type="spellStart"/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morfo</w:t>
            </w:r>
            <w:proofErr w:type="spellEnd"/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-functional peculiarities of the body joints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066FACEE" w14:textId="5F2D25D1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1" w:name="OLE_LINK1"/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The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myology</w:t>
            </w:r>
            <w:bookmarkEnd w:id="1"/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: types of muscles, structure of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skeletal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muscles, the an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n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ex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es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of muscles, the muscles of the head, back, abdomen, forelimbs and hindlimbs.</w:t>
            </w:r>
          </w:p>
          <w:p w14:paraId="0549D91E" w14:textId="6210A395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The passive stay apparatus in horses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7D1AFF47" w14:textId="08B05970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Digestive system: systematization of the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igestive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ystem. The morphological particularities of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igestive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ystem in domestic mammals and birds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0FC04D84" w14:textId="4E0C3D13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Morphological particularities of the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espiratory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ystem in domestic mammals and birds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5F6A8B35" w14:textId="1F60F921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The morphological peculiarities of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u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rinary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pparatus in domestic mammals and birds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156B4A52" w14:textId="4174E497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The male and female genital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apparatus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in domestic mammals and birds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171461A1" w14:textId="3C72427B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Historical perspectives on animal experimentation. Ethics in animal experimentation. National and European legislation on the protection of animals used for experimental purposes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6C740EBB" w14:textId="5E333D51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Alternatives 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for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reducing the use of animals in experiments (3Rs </w:t>
            </w:r>
            <w:r w:rsidR="00C44696" w:rsidRPr="00915DC1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rinciple). </w:t>
            </w:r>
          </w:p>
          <w:p w14:paraId="08B8079F" w14:textId="6EC424C4" w:rsidR="006B61D8" w:rsidRPr="00915DC1" w:rsidRDefault="006B61D8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Use of rodents (laboratory mouse, laboratory rat, rabbit, guinea pig, gerbil, hamster) as animal models in biomedical research</w:t>
            </w:r>
            <w:r w:rsidR="00894684"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7F37050D" w14:textId="61F58129" w:rsidR="006B61D8" w:rsidRPr="00915DC1" w:rsidRDefault="00C44696" w:rsidP="00915DC1">
            <w:pPr>
              <w:pStyle w:val="Corptext2"/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U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se of carnivores (dog, domestic cat, domestic ferret) </w:t>
            </w:r>
            <w:r w:rsidR="000E25E6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as animal models </w:t>
            </w:r>
            <w:r w:rsidR="006B61D8" w:rsidRPr="00915DC1">
              <w:rPr>
                <w:rFonts w:ascii="Times New Roman" w:hAnsi="Times New Roman"/>
                <w:color w:val="000000" w:themeColor="text1"/>
                <w:lang w:val="en-US"/>
              </w:rPr>
              <w:t>in biomedical research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531EAA8A" w14:textId="77777777" w:rsidR="006B61D8" w:rsidRPr="00915DC1" w:rsidRDefault="006B61D8" w:rsidP="006B61D8">
            <w:pPr>
              <w:pStyle w:val="Corptext2"/>
              <w:tabs>
                <w:tab w:val="left" w:pos="586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73C1906" w14:textId="77777777" w:rsidR="00513CC5" w:rsidRPr="00915DC1" w:rsidRDefault="00513CC5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Bibliography</w:t>
            </w:r>
          </w:p>
          <w:p w14:paraId="60774EFC" w14:textId="307B5A18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1. Dyce, K.M., Sack, W.O.;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Wensing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C.J.G. (2002) </w:t>
            </w: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Textbook of Veterinary Anatomy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, Third edition, Ed. Saunders, ISBN 0-7216-8966-3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5C1E07C4" w14:textId="685396FA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2.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König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H.E.;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Liebich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H-G. (2004) </w:t>
            </w: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Veterinary Anatomy of Domestic Mammals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</w:t>
            </w:r>
            <w:r w:rsidR="002B45A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T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extbook and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Colour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Atlas, ISBN 3-7945-2101-3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071CCB77" w14:textId="69D3EC1B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3.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Spataru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M. (2019) </w:t>
            </w: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Veterinary Anatomy,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Splanchnology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of domestic animals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, Ed. ”Ion Ionescu de la Brad”, Iasi, ISBN 978-973-147-349-9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76B63EDD" w14:textId="0215A83F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4.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Spataru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M;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Covașă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C. (2020) </w:t>
            </w: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Veterinary Anatomy, Practical guide of the Locomotor System, 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Ed. ”Ion Ionescu de la Brad”, Iasi, ISBN 978-973-147-359-8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48968BB0" w14:textId="13E42399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5.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Coțofan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V. et al. (1999)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Anatomia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animalelor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domestice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,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Vol. I., Ed.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Orizonturi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Universitare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Timișoara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, ISBN 973-9400-30-2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5279ABE3" w14:textId="32366C97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6.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Coțofan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V. et al. (2007)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Anatomia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animalelor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domestice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,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Vol. II., Ed.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Orizonturi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Universitare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Timișoara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, ISBN 978-973-638-325-0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20C41236" w14:textId="6CF0BCB0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7.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Ciudin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E. (2004)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Biologia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animalelor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laborator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Ed. Alfa, </w:t>
            </w:r>
            <w:proofErr w:type="spellStart"/>
            <w:r w:rsidR="002B45A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Iași</w:t>
            </w:r>
            <w:proofErr w:type="spellEnd"/>
            <w:r w:rsidR="002B45A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</w:t>
            </w: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ISBN 973-8278-42-2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1CFB66EE" w14:textId="6A8391FD" w:rsidR="006B61D8" w:rsidRPr="00915DC1" w:rsidRDefault="006B61D8" w:rsidP="00894684">
            <w:pPr>
              <w:tabs>
                <w:tab w:val="left" w:pos="459"/>
              </w:tabs>
              <w:spacing w:after="0" w:line="240" w:lineRule="auto"/>
              <w:ind w:left="530" w:hanging="426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8. Marcus, I;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Sevastre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B.;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Sarpataki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S. (2018)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Biologia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și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patologia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animalelor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laborator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, Ed. RISOPRINT Cluj-Napoca, ISBN 978-973-53-2232-8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  <w:p w14:paraId="6410ED84" w14:textId="54848009" w:rsidR="003648D6" w:rsidRPr="00915DC1" w:rsidRDefault="006B61D8" w:rsidP="00894684">
            <w:pPr>
              <w:pStyle w:val="Frspaiere"/>
              <w:tabs>
                <w:tab w:val="left" w:pos="459"/>
              </w:tabs>
              <w:ind w:left="530" w:hanging="426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9. </w:t>
            </w:r>
            <w:proofErr w:type="spellStart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Spataru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M. (2021)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Medicină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experimentală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.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Modele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animale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utilizate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în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cercetarea</w:t>
            </w:r>
            <w:proofErr w:type="spellEnd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t>biomedicală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, Ed. ALFA, </w:t>
            </w:r>
            <w:proofErr w:type="spellStart"/>
            <w:r w:rsidR="002B45A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Iași</w:t>
            </w:r>
            <w:proofErr w:type="spellEnd"/>
            <w:r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, ISBN 978-606-540-266-9</w:t>
            </w:r>
            <w:r w:rsidR="00894684" w:rsidRPr="00915DC1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</w:p>
        </w:tc>
      </w:tr>
      <w:tr w:rsidR="00915DC1" w:rsidRPr="00915DC1" w14:paraId="7C8A22AB" w14:textId="77777777" w:rsidTr="00915DC1">
        <w:tc>
          <w:tcPr>
            <w:tcW w:w="2660" w:type="dxa"/>
          </w:tcPr>
          <w:p w14:paraId="33793509" w14:textId="77777777" w:rsidR="003648D6" w:rsidRPr="00915DC1" w:rsidRDefault="006515EC" w:rsidP="00CF5FDA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Salary</w:t>
            </w:r>
          </w:p>
        </w:tc>
        <w:tc>
          <w:tcPr>
            <w:tcW w:w="7194" w:type="dxa"/>
          </w:tcPr>
          <w:p w14:paraId="4BF4771B" w14:textId="4F76C2D4" w:rsidR="003648D6" w:rsidRPr="00915DC1" w:rsidRDefault="006515EC" w:rsidP="006515EC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The Associate Professor position shall be remunerated as stipulated in</w:t>
            </w:r>
            <w:r w:rsidR="003648D6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929FF" w:rsidRPr="00915DC1">
              <w:rPr>
                <w:rFonts w:ascii="Times New Roman" w:hAnsi="Times New Roman"/>
                <w:color w:val="000000" w:themeColor="text1"/>
                <w:lang w:val="en-US"/>
              </w:rPr>
              <w:t>Law</w:t>
            </w:r>
            <w:r w:rsidR="00A42AD9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153</w:t>
            </w:r>
            <w:r w:rsidR="003648D6" w:rsidRPr="00915DC1">
              <w:rPr>
                <w:rFonts w:ascii="Times New Roman" w:hAnsi="Times New Roman"/>
                <w:color w:val="000000" w:themeColor="text1"/>
                <w:lang w:val="en-US"/>
              </w:rPr>
              <w:t>/201</w:t>
            </w:r>
            <w:r w:rsidR="00B84438" w:rsidRPr="00915DC1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="003648D6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915DC1">
              <w:rPr>
                <w:rFonts w:ascii="Times New Roman" w:hAnsi="Times New Roman"/>
                <w:color w:val="000000" w:themeColor="text1"/>
                <w:lang w:val="en-US"/>
              </w:rPr>
              <w:t>with the total amount of</w:t>
            </w:r>
            <w:r w:rsidR="00244CDD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A05E5D" w:rsidRPr="00915DC1">
              <w:rPr>
                <w:rFonts w:ascii="Times New Roman" w:hAnsi="Times New Roman"/>
                <w:color w:val="000000" w:themeColor="text1"/>
                <w:lang w:val="en-US"/>
              </w:rPr>
              <w:t>4821</w:t>
            </w:r>
            <w:r w:rsidR="00244CDD" w:rsidRPr="00915D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3648D6" w:rsidRPr="00915DC1">
              <w:rPr>
                <w:rFonts w:ascii="Times New Roman" w:hAnsi="Times New Roman"/>
                <w:color w:val="000000" w:themeColor="text1"/>
                <w:lang w:val="en-US"/>
              </w:rPr>
              <w:t>lei.</w:t>
            </w:r>
          </w:p>
        </w:tc>
      </w:tr>
    </w:tbl>
    <w:p w14:paraId="5A60EE7C" w14:textId="77777777" w:rsidR="003648D6" w:rsidRPr="009C0FA1" w:rsidRDefault="003648D6" w:rsidP="00CF5FDA">
      <w:pPr>
        <w:pStyle w:val="Frspaiere"/>
        <w:jc w:val="both"/>
        <w:rPr>
          <w:rFonts w:ascii="Times New Roman" w:hAnsi="Times New Roman"/>
          <w:b/>
          <w:lang w:val="en-US"/>
        </w:rPr>
      </w:pPr>
    </w:p>
    <w:sectPr w:rsidR="003648D6" w:rsidRPr="009C0FA1" w:rsidSect="00915DC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B6"/>
    <w:multiLevelType w:val="hybridMultilevel"/>
    <w:tmpl w:val="F178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96269"/>
    <w:multiLevelType w:val="hybridMultilevel"/>
    <w:tmpl w:val="8BE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64B83F59"/>
    <w:multiLevelType w:val="hybridMultilevel"/>
    <w:tmpl w:val="FC40C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24634"/>
    <w:rsid w:val="00043B66"/>
    <w:rsid w:val="00046E27"/>
    <w:rsid w:val="000561BC"/>
    <w:rsid w:val="0005698E"/>
    <w:rsid w:val="0006159F"/>
    <w:rsid w:val="000739EE"/>
    <w:rsid w:val="000927B4"/>
    <w:rsid w:val="000C1970"/>
    <w:rsid w:val="000E25E6"/>
    <w:rsid w:val="000F065D"/>
    <w:rsid w:val="001566BC"/>
    <w:rsid w:val="001621DA"/>
    <w:rsid w:val="001763A3"/>
    <w:rsid w:val="0018757D"/>
    <w:rsid w:val="00194F46"/>
    <w:rsid w:val="001A00EA"/>
    <w:rsid w:val="001A25CE"/>
    <w:rsid w:val="001B6316"/>
    <w:rsid w:val="001C0F6F"/>
    <w:rsid w:val="001C33DB"/>
    <w:rsid w:val="001D6200"/>
    <w:rsid w:val="001F7E1B"/>
    <w:rsid w:val="00217644"/>
    <w:rsid w:val="0022142F"/>
    <w:rsid w:val="002312E9"/>
    <w:rsid w:val="00244CDD"/>
    <w:rsid w:val="002510B9"/>
    <w:rsid w:val="00270ABC"/>
    <w:rsid w:val="00285B63"/>
    <w:rsid w:val="002A2F7D"/>
    <w:rsid w:val="002A4D8E"/>
    <w:rsid w:val="002B45A4"/>
    <w:rsid w:val="002D56C1"/>
    <w:rsid w:val="002E0F71"/>
    <w:rsid w:val="00305179"/>
    <w:rsid w:val="00306C25"/>
    <w:rsid w:val="0035569E"/>
    <w:rsid w:val="003648D6"/>
    <w:rsid w:val="003B6F7A"/>
    <w:rsid w:val="003D0837"/>
    <w:rsid w:val="00400C2A"/>
    <w:rsid w:val="004103EA"/>
    <w:rsid w:val="00412D1D"/>
    <w:rsid w:val="00461C35"/>
    <w:rsid w:val="00490A8F"/>
    <w:rsid w:val="004F64CB"/>
    <w:rsid w:val="00513CC5"/>
    <w:rsid w:val="00532D6B"/>
    <w:rsid w:val="005519B2"/>
    <w:rsid w:val="00556DF5"/>
    <w:rsid w:val="0056125D"/>
    <w:rsid w:val="00571AD6"/>
    <w:rsid w:val="005B4475"/>
    <w:rsid w:val="005C6ECA"/>
    <w:rsid w:val="00640168"/>
    <w:rsid w:val="00651443"/>
    <w:rsid w:val="006515EC"/>
    <w:rsid w:val="00671299"/>
    <w:rsid w:val="006905D0"/>
    <w:rsid w:val="00690B26"/>
    <w:rsid w:val="00693FBD"/>
    <w:rsid w:val="006A09AF"/>
    <w:rsid w:val="006B61D8"/>
    <w:rsid w:val="007050CA"/>
    <w:rsid w:val="00725767"/>
    <w:rsid w:val="007743A7"/>
    <w:rsid w:val="00780252"/>
    <w:rsid w:val="007B0172"/>
    <w:rsid w:val="007B1444"/>
    <w:rsid w:val="007B1D8A"/>
    <w:rsid w:val="007C3266"/>
    <w:rsid w:val="007C32B9"/>
    <w:rsid w:val="007E559C"/>
    <w:rsid w:val="007F038E"/>
    <w:rsid w:val="008139D8"/>
    <w:rsid w:val="00836E1F"/>
    <w:rsid w:val="00846722"/>
    <w:rsid w:val="00866A94"/>
    <w:rsid w:val="00894684"/>
    <w:rsid w:val="008B2382"/>
    <w:rsid w:val="008D66B5"/>
    <w:rsid w:val="008E4036"/>
    <w:rsid w:val="00912274"/>
    <w:rsid w:val="00915DC1"/>
    <w:rsid w:val="00927894"/>
    <w:rsid w:val="00957131"/>
    <w:rsid w:val="009912DA"/>
    <w:rsid w:val="009C0FA1"/>
    <w:rsid w:val="009D0BAD"/>
    <w:rsid w:val="009E6BB5"/>
    <w:rsid w:val="009F0024"/>
    <w:rsid w:val="00A05E5D"/>
    <w:rsid w:val="00A35489"/>
    <w:rsid w:val="00A42AD9"/>
    <w:rsid w:val="00A55BAD"/>
    <w:rsid w:val="00A57C66"/>
    <w:rsid w:val="00A634B8"/>
    <w:rsid w:val="00A9719B"/>
    <w:rsid w:val="00AC129B"/>
    <w:rsid w:val="00AC1AAC"/>
    <w:rsid w:val="00B044E1"/>
    <w:rsid w:val="00B06DB5"/>
    <w:rsid w:val="00B6266B"/>
    <w:rsid w:val="00B8022B"/>
    <w:rsid w:val="00B84438"/>
    <w:rsid w:val="00BA540B"/>
    <w:rsid w:val="00BD6D81"/>
    <w:rsid w:val="00BF2693"/>
    <w:rsid w:val="00BF29DC"/>
    <w:rsid w:val="00C00247"/>
    <w:rsid w:val="00C363C8"/>
    <w:rsid w:val="00C44696"/>
    <w:rsid w:val="00C63B6C"/>
    <w:rsid w:val="00C64316"/>
    <w:rsid w:val="00C6687F"/>
    <w:rsid w:val="00C70A84"/>
    <w:rsid w:val="00C77844"/>
    <w:rsid w:val="00CF5FDA"/>
    <w:rsid w:val="00D02176"/>
    <w:rsid w:val="00D12F25"/>
    <w:rsid w:val="00D41673"/>
    <w:rsid w:val="00D43F21"/>
    <w:rsid w:val="00DA193E"/>
    <w:rsid w:val="00DB0C20"/>
    <w:rsid w:val="00DD3314"/>
    <w:rsid w:val="00DD660C"/>
    <w:rsid w:val="00DD7FC1"/>
    <w:rsid w:val="00DF3154"/>
    <w:rsid w:val="00DF37AD"/>
    <w:rsid w:val="00E81078"/>
    <w:rsid w:val="00E8561E"/>
    <w:rsid w:val="00E929FF"/>
    <w:rsid w:val="00EA0316"/>
    <w:rsid w:val="00EF578A"/>
    <w:rsid w:val="00EF6ED7"/>
    <w:rsid w:val="00F46007"/>
    <w:rsid w:val="00F46262"/>
    <w:rsid w:val="00F525E4"/>
    <w:rsid w:val="00F57D56"/>
    <w:rsid w:val="00F677CC"/>
    <w:rsid w:val="00F809D7"/>
    <w:rsid w:val="00F83B3D"/>
    <w:rsid w:val="00F96B83"/>
    <w:rsid w:val="00FA5978"/>
    <w:rsid w:val="00FB15EE"/>
    <w:rsid w:val="00FC2F0E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2E430"/>
  <w15:docId w15:val="{5337A361-CD7B-4195-B3FD-4423C8BE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99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1621DA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unhideWhenUsed/>
    <w:rsid w:val="001A00EA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A00EA"/>
    <w:rPr>
      <w:lang w:eastAsia="en-US"/>
    </w:rPr>
  </w:style>
  <w:style w:type="paragraph" w:styleId="Cuprins3">
    <w:name w:val="toc 3"/>
    <w:basedOn w:val="Normal"/>
    <w:next w:val="Normal"/>
    <w:autoRedefine/>
    <w:locked/>
    <w:rsid w:val="00DF37A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12</cp:revision>
  <cp:lastPrinted>2017-05-12T05:43:00Z</cp:lastPrinted>
  <dcterms:created xsi:type="dcterms:W3CDTF">2021-05-17T05:47:00Z</dcterms:created>
  <dcterms:modified xsi:type="dcterms:W3CDTF">2021-05-18T08:14:00Z</dcterms:modified>
</cp:coreProperties>
</file>