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99B9C" w14:textId="08C627CA" w:rsidR="00B617C7" w:rsidRDefault="00B1151D" w:rsidP="00B1151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fr-FR"/>
        </w:rPr>
        <w:t xml:space="preserve">Iasi, </w:t>
      </w:r>
      <w:r w:rsidR="00CB56FF" w:rsidRPr="001366F1">
        <w:rPr>
          <w:rFonts w:ascii="Times New Roman" w:hAnsi="Times New Roman" w:cs="Times New Roman"/>
          <w:b/>
          <w:lang w:val="fr-FR"/>
        </w:rPr>
        <w:t>UNIVERSITY</w:t>
      </w:r>
      <w:r w:rsidR="001366F1">
        <w:rPr>
          <w:rFonts w:ascii="Times New Roman" w:hAnsi="Times New Roman" w:cs="Times New Roman"/>
          <w:b/>
          <w:lang w:val="fr-FR"/>
        </w:rPr>
        <w:t xml:space="preserve"> </w:t>
      </w:r>
      <w:r w:rsidR="001366F1">
        <w:rPr>
          <w:rFonts w:ascii="Times New Roman" w:hAnsi="Times New Roman" w:cs="Times New Roman"/>
          <w:b/>
        </w:rPr>
        <w:t>OF</w:t>
      </w:r>
      <w:r>
        <w:rPr>
          <w:rFonts w:ascii="Times New Roman" w:hAnsi="Times New Roman" w:cs="Times New Roman"/>
          <w:b/>
        </w:rPr>
        <w:t xml:space="preserve"> </w:t>
      </w:r>
      <w:r w:rsidRPr="001366F1">
        <w:rPr>
          <w:rFonts w:ascii="Times New Roman" w:hAnsi="Times New Roman" w:cs="Times New Roman"/>
          <w:b/>
          <w:lang w:val="fr-FR"/>
        </w:rPr>
        <w:t>LIFE SCIENCES</w:t>
      </w:r>
    </w:p>
    <w:p w14:paraId="0F6785E6" w14:textId="11887CDC" w:rsidR="00B1151D" w:rsidRPr="001366F1" w:rsidRDefault="00B1151D" w:rsidP="00B617C7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1366F1">
        <w:rPr>
          <w:rFonts w:ascii="Times New Roman" w:hAnsi="Times New Roman" w:cs="Times New Roman"/>
          <w:b/>
          <w:lang w:val="fr-FR"/>
        </w:rPr>
        <w:t>„ION IONESCU DE LA BRAD”</w:t>
      </w:r>
    </w:p>
    <w:p w14:paraId="7DD37C9F" w14:textId="77777777" w:rsidR="00B617C7" w:rsidRPr="00B617C7" w:rsidRDefault="00B617C7" w:rsidP="00B617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CONTEST – II SEM.</w:t>
      </w:r>
    </w:p>
    <w:p w14:paraId="3560CE82" w14:textId="77777777" w:rsidR="00353C45" w:rsidRDefault="00B617C7" w:rsidP="00B617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UNIV.</w:t>
      </w:r>
      <w:r w:rsidRPr="00B617C7">
        <w:rPr>
          <w:rFonts w:ascii="Times New Roman" w:hAnsi="Times New Roman" w:cs="Times New Roman"/>
        </w:rPr>
        <w:t xml:space="preserve"> YEAR 2020/2021</w:t>
      </w:r>
    </w:p>
    <w:p w14:paraId="5DDF16AF" w14:textId="7141C010" w:rsidR="00E40EB6" w:rsidRDefault="00E40EB6" w:rsidP="00B617C7">
      <w:pPr>
        <w:spacing w:after="0" w:line="240" w:lineRule="auto"/>
        <w:rPr>
          <w:rFonts w:ascii="Times New Roman" w:hAnsi="Times New Roman" w:cs="Times New Roman"/>
        </w:rPr>
      </w:pPr>
    </w:p>
    <w:p w14:paraId="02722BF0" w14:textId="77777777" w:rsidR="00B1151D" w:rsidRDefault="00B1151D" w:rsidP="00B617C7">
      <w:pPr>
        <w:spacing w:after="0" w:line="240" w:lineRule="auto"/>
        <w:rPr>
          <w:rFonts w:ascii="Times New Roman" w:hAnsi="Times New Roman" w:cs="Times New Roman"/>
        </w:rPr>
      </w:pPr>
    </w:p>
    <w:p w14:paraId="52762006" w14:textId="77777777" w:rsidR="00E40EB6" w:rsidRDefault="00E40EB6" w:rsidP="00B617C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6628"/>
      </w:tblGrid>
      <w:tr w:rsidR="00E40EB6" w:rsidRPr="00B070EC" w14:paraId="4F1C23C7" w14:textId="77777777" w:rsidTr="00E40EB6">
        <w:tc>
          <w:tcPr>
            <w:tcW w:w="9350" w:type="dxa"/>
            <w:gridSpan w:val="2"/>
          </w:tcPr>
          <w:p w14:paraId="18B767F7" w14:textId="77777777" w:rsidR="00E40EB6" w:rsidRPr="00B070EC" w:rsidRDefault="00E40EB6" w:rsidP="00B072CD">
            <w:pPr>
              <w:pStyle w:val="MediumGrid21"/>
              <w:jc w:val="center"/>
              <w:rPr>
                <w:rFonts w:ascii="Times New Roman" w:hAnsi="Times New Roman"/>
                <w:b/>
              </w:rPr>
            </w:pPr>
            <w:r w:rsidRPr="00E40EB6">
              <w:rPr>
                <w:rFonts w:ascii="Times New Roman" w:hAnsi="Times New Roman"/>
                <w:b/>
              </w:rPr>
              <w:t>DESCRIPTION OF THE COMPETITION POSITION:</w:t>
            </w:r>
          </w:p>
        </w:tc>
      </w:tr>
      <w:tr w:rsidR="00E40EB6" w:rsidRPr="00B070EC" w14:paraId="4F64E2E5" w14:textId="77777777" w:rsidTr="008E0017">
        <w:tc>
          <w:tcPr>
            <w:tcW w:w="2722" w:type="dxa"/>
          </w:tcPr>
          <w:p w14:paraId="05957A37" w14:textId="77777777" w:rsidR="00E40EB6" w:rsidRPr="00D96103" w:rsidRDefault="00E40EB6" w:rsidP="00E40EB6">
            <w:pPr>
              <w:rPr>
                <w:rFonts w:ascii="Times New Roman" w:hAnsi="Times New Roman" w:cs="Times New Roman"/>
                <w:b/>
              </w:rPr>
            </w:pPr>
            <w:r w:rsidRPr="00D96103">
              <w:rPr>
                <w:rFonts w:ascii="Times New Roman" w:hAnsi="Times New Roman" w:cs="Times New Roman"/>
                <w:b/>
              </w:rPr>
              <w:t>The post</w:t>
            </w:r>
          </w:p>
        </w:tc>
        <w:tc>
          <w:tcPr>
            <w:tcW w:w="6628" w:type="dxa"/>
          </w:tcPr>
          <w:p w14:paraId="527E3931" w14:textId="77777777" w:rsidR="00E40EB6" w:rsidRPr="00D96103" w:rsidRDefault="00E40EB6" w:rsidP="00E40EB6">
            <w:pPr>
              <w:rPr>
                <w:rFonts w:ascii="Times New Roman" w:hAnsi="Times New Roman" w:cs="Times New Roman"/>
                <w:b/>
              </w:rPr>
            </w:pPr>
            <w:r w:rsidRPr="00D96103">
              <w:rPr>
                <w:rFonts w:ascii="Times New Roman" w:hAnsi="Times New Roman" w:cs="Times New Roman"/>
                <w:b/>
              </w:rPr>
              <w:t>Associate professor</w:t>
            </w:r>
          </w:p>
        </w:tc>
      </w:tr>
      <w:tr w:rsidR="00E40EB6" w:rsidRPr="00B070EC" w14:paraId="5B9A32BD" w14:textId="77777777" w:rsidTr="008E0017">
        <w:tc>
          <w:tcPr>
            <w:tcW w:w="2722" w:type="dxa"/>
          </w:tcPr>
          <w:p w14:paraId="6C6139B7" w14:textId="77777777" w:rsidR="00E40EB6" w:rsidRPr="00D96103" w:rsidRDefault="00E40EB6" w:rsidP="00E40EB6">
            <w:pPr>
              <w:rPr>
                <w:rFonts w:ascii="Times New Roman" w:hAnsi="Times New Roman" w:cs="Times New Roman"/>
                <w:b/>
              </w:rPr>
            </w:pPr>
            <w:r w:rsidRPr="00D96103">
              <w:rPr>
                <w:rFonts w:ascii="Times New Roman" w:hAnsi="Times New Roman" w:cs="Times New Roman"/>
                <w:b/>
              </w:rPr>
              <w:t>Position in the state of office</w:t>
            </w:r>
          </w:p>
        </w:tc>
        <w:tc>
          <w:tcPr>
            <w:tcW w:w="6628" w:type="dxa"/>
          </w:tcPr>
          <w:p w14:paraId="68F0091B" w14:textId="77777777" w:rsidR="00E40EB6" w:rsidRPr="00D96103" w:rsidRDefault="00171407" w:rsidP="00E40E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IX /11</w:t>
            </w:r>
          </w:p>
        </w:tc>
      </w:tr>
      <w:tr w:rsidR="00E40EB6" w:rsidRPr="00B070EC" w14:paraId="648596BD" w14:textId="77777777" w:rsidTr="008E0017">
        <w:tc>
          <w:tcPr>
            <w:tcW w:w="2722" w:type="dxa"/>
          </w:tcPr>
          <w:p w14:paraId="45996602" w14:textId="77777777" w:rsidR="00E40EB6" w:rsidRPr="00D96103" w:rsidRDefault="00E40EB6" w:rsidP="00E40EB6">
            <w:pPr>
              <w:rPr>
                <w:rFonts w:ascii="Times New Roman" w:hAnsi="Times New Roman" w:cs="Times New Roman"/>
                <w:b/>
              </w:rPr>
            </w:pPr>
            <w:r w:rsidRPr="00D96103">
              <w:rPr>
                <w:rFonts w:ascii="Times New Roman" w:hAnsi="Times New Roman" w:cs="Times New Roman"/>
                <w:b/>
              </w:rPr>
              <w:t>Faculty</w:t>
            </w:r>
          </w:p>
        </w:tc>
        <w:tc>
          <w:tcPr>
            <w:tcW w:w="6628" w:type="dxa"/>
          </w:tcPr>
          <w:p w14:paraId="28EB4367" w14:textId="77777777" w:rsidR="00E40EB6" w:rsidRPr="00D96103" w:rsidRDefault="00E40EB6" w:rsidP="00E40EB6">
            <w:pPr>
              <w:rPr>
                <w:rFonts w:ascii="Times New Roman" w:hAnsi="Times New Roman" w:cs="Times New Roman"/>
                <w:b/>
              </w:rPr>
            </w:pPr>
            <w:r w:rsidRPr="00D96103">
              <w:rPr>
                <w:rFonts w:ascii="Times New Roman" w:hAnsi="Times New Roman" w:cs="Times New Roman"/>
                <w:b/>
              </w:rPr>
              <w:t>Veterinary Medicine</w:t>
            </w:r>
          </w:p>
        </w:tc>
      </w:tr>
      <w:tr w:rsidR="00E40EB6" w:rsidRPr="00B070EC" w14:paraId="3D87234A" w14:textId="77777777" w:rsidTr="008E0017">
        <w:tc>
          <w:tcPr>
            <w:tcW w:w="2722" w:type="dxa"/>
          </w:tcPr>
          <w:p w14:paraId="73F4C612" w14:textId="77777777" w:rsidR="00E40EB6" w:rsidRPr="00D96103" w:rsidRDefault="00E40EB6" w:rsidP="00E40EB6">
            <w:pPr>
              <w:rPr>
                <w:rFonts w:ascii="Times New Roman" w:hAnsi="Times New Roman" w:cs="Times New Roman"/>
                <w:b/>
              </w:rPr>
            </w:pPr>
            <w:r w:rsidRPr="00D96103"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6628" w:type="dxa"/>
          </w:tcPr>
          <w:p w14:paraId="105F9295" w14:textId="77777777" w:rsidR="00E40EB6" w:rsidRPr="00D96103" w:rsidRDefault="00E40EB6" w:rsidP="00E40EB6">
            <w:pPr>
              <w:rPr>
                <w:rFonts w:ascii="Times New Roman" w:hAnsi="Times New Roman" w:cs="Times New Roman"/>
                <w:b/>
              </w:rPr>
            </w:pPr>
            <w:r w:rsidRPr="00D96103">
              <w:rPr>
                <w:rFonts w:ascii="Times New Roman" w:hAnsi="Times New Roman" w:cs="Times New Roman"/>
                <w:b/>
              </w:rPr>
              <w:t>Clinics IX</w:t>
            </w:r>
          </w:p>
        </w:tc>
      </w:tr>
      <w:tr w:rsidR="00E40EB6" w:rsidRPr="00B070EC" w14:paraId="0CF9D4D6" w14:textId="77777777" w:rsidTr="008E0017">
        <w:tc>
          <w:tcPr>
            <w:tcW w:w="2722" w:type="dxa"/>
          </w:tcPr>
          <w:p w14:paraId="04619A77" w14:textId="77777777" w:rsidR="00E40EB6" w:rsidRPr="00B070EC" w:rsidRDefault="00E40EB6" w:rsidP="00B072CD">
            <w:pPr>
              <w:pStyle w:val="MediumGrid21"/>
              <w:rPr>
                <w:rFonts w:ascii="Times New Roman" w:hAnsi="Times New Roman"/>
                <w:b/>
              </w:rPr>
            </w:pPr>
            <w:r w:rsidRPr="00E40EB6">
              <w:rPr>
                <w:rFonts w:ascii="Times New Roman" w:hAnsi="Times New Roman"/>
                <w:b/>
              </w:rPr>
              <w:t>Curriculum disciplines</w:t>
            </w:r>
          </w:p>
        </w:tc>
        <w:tc>
          <w:tcPr>
            <w:tcW w:w="6628" w:type="dxa"/>
          </w:tcPr>
          <w:p w14:paraId="2F6F6CC5" w14:textId="77777777" w:rsidR="00922AD2" w:rsidRPr="00D34B00" w:rsidRDefault="00922AD2" w:rsidP="00922AD2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-Small animal</w:t>
            </w:r>
            <w:r w:rsidRPr="00D34B00">
              <w:rPr>
                <w:rFonts w:ascii="Times New Roman" w:hAnsi="Times New Roman"/>
                <w:b/>
                <w:sz w:val="24"/>
                <w:szCs w:val="24"/>
              </w:rPr>
              <w:t xml:space="preserve"> clinical lectures</w:t>
            </w:r>
          </w:p>
          <w:p w14:paraId="60AC9B7B" w14:textId="77777777" w:rsidR="00922AD2" w:rsidRPr="00D34B00" w:rsidRDefault="00922AD2" w:rsidP="00922AD2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 w:rsidRPr="00D34B00">
              <w:rPr>
                <w:rFonts w:ascii="Times New Roman" w:hAnsi="Times New Roman"/>
                <w:b/>
                <w:sz w:val="24"/>
                <w:szCs w:val="24"/>
              </w:rPr>
              <w:t>-Neurology and physiotherapy</w:t>
            </w:r>
          </w:p>
          <w:p w14:paraId="58D59653" w14:textId="77777777" w:rsidR="00922AD2" w:rsidRPr="00D34B00" w:rsidRDefault="00922AD2" w:rsidP="00922AD2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-Internal medicine of small animals and pets</w:t>
            </w:r>
          </w:p>
          <w:p w14:paraId="14F4C36C" w14:textId="77777777" w:rsidR="00E40EB6" w:rsidRPr="00215521" w:rsidRDefault="00922AD2" w:rsidP="00922AD2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 w:rsidRPr="00D34B00">
              <w:rPr>
                <w:rFonts w:ascii="Times New Roman" w:hAnsi="Times New Roman"/>
                <w:b/>
                <w:sz w:val="24"/>
                <w:szCs w:val="24"/>
              </w:rPr>
              <w:t>-Internal medicine and lectures by species</w:t>
            </w:r>
          </w:p>
        </w:tc>
      </w:tr>
      <w:tr w:rsidR="00E40EB6" w:rsidRPr="00B070EC" w14:paraId="730F758E" w14:textId="77777777" w:rsidTr="008E0017">
        <w:tc>
          <w:tcPr>
            <w:tcW w:w="2722" w:type="dxa"/>
          </w:tcPr>
          <w:p w14:paraId="6766DDF9" w14:textId="77777777" w:rsidR="00E40EB6" w:rsidRPr="00B070EC" w:rsidRDefault="00E40EB6" w:rsidP="00B072CD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Scientific domain</w:t>
            </w:r>
          </w:p>
        </w:tc>
        <w:tc>
          <w:tcPr>
            <w:tcW w:w="6628" w:type="dxa"/>
          </w:tcPr>
          <w:p w14:paraId="705E7731" w14:textId="77777777" w:rsidR="00E40EB6" w:rsidRPr="00B070EC" w:rsidRDefault="00E40EB6" w:rsidP="00B072CD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Veterinary Medicine</w:t>
            </w:r>
          </w:p>
        </w:tc>
      </w:tr>
      <w:tr w:rsidR="00E40EB6" w:rsidRPr="00B070EC" w14:paraId="69FB11A3" w14:textId="77777777" w:rsidTr="008E0017">
        <w:tc>
          <w:tcPr>
            <w:tcW w:w="2722" w:type="dxa"/>
          </w:tcPr>
          <w:p w14:paraId="331DB203" w14:textId="77777777" w:rsidR="00E40EB6" w:rsidRPr="00B070EC" w:rsidRDefault="0074208A" w:rsidP="00B072CD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Post description</w:t>
            </w:r>
          </w:p>
        </w:tc>
        <w:tc>
          <w:tcPr>
            <w:tcW w:w="6628" w:type="dxa"/>
          </w:tcPr>
          <w:p w14:paraId="1542E673" w14:textId="77777777" w:rsidR="00922AD2" w:rsidRPr="00C900ED" w:rsidRDefault="00922AD2" w:rsidP="00922A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C900ED">
              <w:rPr>
                <w:rFonts w:ascii="Times New Roman" w:hAnsi="Times New Roman"/>
                <w:lang w:val="en-GB"/>
              </w:rPr>
              <w:t>The position of Associate Professor, for an indefinite period, vacant, no. IX / 11, provided in the State of functions and teaching staff approved in the academic year 2020–2021, contains a norm of 12.57 conventional hours, provided with hours of course and practical works, with the following semester distribution by disciplines:</w:t>
            </w:r>
          </w:p>
          <w:p w14:paraId="428F7696" w14:textId="1AD855C3" w:rsidR="00922AD2" w:rsidRPr="00C900ED" w:rsidRDefault="007F4500" w:rsidP="00922A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Semester I</w:t>
            </w:r>
            <w:r w:rsidR="00922AD2" w:rsidRPr="00C900ED">
              <w:rPr>
                <w:rFonts w:ascii="Times New Roman" w:hAnsi="Times New Roman"/>
                <w:lang w:val="en-GB"/>
              </w:rPr>
              <w:t xml:space="preserve">: Small animal clinical lectures with </w:t>
            </w:r>
            <w:r>
              <w:rPr>
                <w:rFonts w:ascii="Times New Roman" w:hAnsi="Times New Roman"/>
                <w:lang w:val="en-GB"/>
              </w:rPr>
              <w:t>3</w:t>
            </w:r>
            <w:r w:rsidR="00922AD2" w:rsidRPr="00C900ED">
              <w:rPr>
                <w:rFonts w:ascii="Times New Roman" w:hAnsi="Times New Roman"/>
                <w:lang w:val="en-GB"/>
              </w:rPr>
              <w:t>.0 hours of practical work, Ne</w:t>
            </w:r>
            <w:r>
              <w:rPr>
                <w:rFonts w:ascii="Times New Roman" w:hAnsi="Times New Roman"/>
                <w:lang w:val="en-GB"/>
              </w:rPr>
              <w:t>urology and physiotherapy with 0,5</w:t>
            </w:r>
            <w:r w:rsidR="00922AD2" w:rsidRPr="00C900ED">
              <w:rPr>
                <w:rFonts w:ascii="Times New Roman" w:hAnsi="Times New Roman"/>
                <w:lang w:val="en-GB"/>
              </w:rPr>
              <w:t xml:space="preserve"> </w:t>
            </w:r>
            <w:proofErr w:type="gramStart"/>
            <w:r w:rsidR="00922AD2" w:rsidRPr="00C900ED">
              <w:rPr>
                <w:rFonts w:ascii="Times New Roman" w:hAnsi="Times New Roman"/>
                <w:lang w:val="en-GB"/>
              </w:rPr>
              <w:t>hour</w:t>
            </w:r>
            <w:proofErr w:type="gramEnd"/>
            <w:r w:rsidR="00922AD2" w:rsidRPr="00C900ED">
              <w:rPr>
                <w:rFonts w:ascii="Times New Roman" w:hAnsi="Times New Roman"/>
                <w:lang w:val="en-GB"/>
              </w:rPr>
              <w:t xml:space="preserve"> of course (</w:t>
            </w:r>
            <w:r>
              <w:rPr>
                <w:rFonts w:ascii="Times New Roman" w:hAnsi="Times New Roman"/>
                <w:lang w:val="en-GB"/>
              </w:rPr>
              <w:t>1</w:t>
            </w:r>
            <w:r w:rsidR="00922AD2" w:rsidRPr="00C900ED">
              <w:rPr>
                <w:rFonts w:ascii="Times New Roman" w:hAnsi="Times New Roman"/>
                <w:lang w:val="en-GB"/>
              </w:rPr>
              <w:t xml:space="preserve"> conventional hours) and Internal medicine and lectures by species with </w:t>
            </w:r>
            <w:r>
              <w:rPr>
                <w:rFonts w:ascii="Times New Roman" w:hAnsi="Times New Roman"/>
                <w:lang w:val="en-GB"/>
              </w:rPr>
              <w:t>1</w:t>
            </w:r>
            <w:r w:rsidR="00922AD2" w:rsidRPr="00C900ED">
              <w:rPr>
                <w:rFonts w:ascii="Times New Roman" w:hAnsi="Times New Roman"/>
                <w:lang w:val="en-GB"/>
              </w:rPr>
              <w:t>.</w:t>
            </w:r>
            <w:r>
              <w:rPr>
                <w:rFonts w:ascii="Times New Roman" w:hAnsi="Times New Roman"/>
                <w:lang w:val="en-GB"/>
              </w:rPr>
              <w:t>2</w:t>
            </w:r>
            <w:r w:rsidR="00922AD2" w:rsidRPr="00C900ED">
              <w:rPr>
                <w:rFonts w:ascii="Times New Roman" w:hAnsi="Times New Roman"/>
                <w:lang w:val="en-GB"/>
              </w:rPr>
              <w:t>5 hours of course (</w:t>
            </w:r>
            <w:r>
              <w:rPr>
                <w:rFonts w:ascii="Times New Roman" w:hAnsi="Times New Roman"/>
                <w:lang w:val="en-GB"/>
              </w:rPr>
              <w:t>2,</w:t>
            </w:r>
            <w:r w:rsidR="00922AD2" w:rsidRPr="00C900ED">
              <w:rPr>
                <w:rFonts w:ascii="Times New Roman" w:hAnsi="Times New Roman"/>
                <w:lang w:val="en-GB"/>
              </w:rPr>
              <w:t xml:space="preserve">5 hours conventional) and </w:t>
            </w:r>
            <w:r>
              <w:rPr>
                <w:rFonts w:ascii="Times New Roman" w:hAnsi="Times New Roman"/>
                <w:lang w:val="en-GB"/>
              </w:rPr>
              <w:t>1,87</w:t>
            </w:r>
            <w:r w:rsidR="00922AD2" w:rsidRPr="00C900ED">
              <w:rPr>
                <w:rFonts w:ascii="Times New Roman" w:hAnsi="Times New Roman"/>
                <w:lang w:val="en-GB"/>
              </w:rPr>
              <w:t xml:space="preserve"> hours of practical work</w:t>
            </w:r>
          </w:p>
          <w:p w14:paraId="14C523CC" w14:textId="3D1F293B" w:rsidR="00E40EB6" w:rsidRPr="00DB67D5" w:rsidRDefault="007F4500" w:rsidP="007F45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lang w:val="en-GB"/>
              </w:rPr>
              <w:t>Semester II</w:t>
            </w:r>
            <w:r w:rsidR="00922AD2" w:rsidRPr="00C900ED">
              <w:rPr>
                <w:rFonts w:ascii="Times New Roman" w:hAnsi="Times New Roman"/>
                <w:lang w:val="en-GB"/>
              </w:rPr>
              <w:t>: Internal medicine of small an</w:t>
            </w:r>
            <w:bookmarkStart w:id="0" w:name="_GoBack"/>
            <w:bookmarkEnd w:id="0"/>
            <w:r w:rsidR="00922AD2" w:rsidRPr="00C900ED">
              <w:rPr>
                <w:rFonts w:ascii="Times New Roman" w:hAnsi="Times New Roman"/>
                <w:lang w:val="en-GB"/>
              </w:rPr>
              <w:t>imals and pets with 8.4 hours practical work</w:t>
            </w:r>
          </w:p>
        </w:tc>
      </w:tr>
      <w:tr w:rsidR="00E40EB6" w:rsidRPr="00B070EC" w14:paraId="10FC7D5D" w14:textId="77777777" w:rsidTr="008E0017">
        <w:tc>
          <w:tcPr>
            <w:tcW w:w="2722" w:type="dxa"/>
          </w:tcPr>
          <w:p w14:paraId="5FE093D2" w14:textId="77777777" w:rsidR="00E40EB6" w:rsidRPr="00B070EC" w:rsidRDefault="0074208A" w:rsidP="00B072CD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Position </w:t>
            </w:r>
            <w:r w:rsidRPr="0074208A">
              <w:rPr>
                <w:rFonts w:ascii="Times New Roman" w:hAnsi="Times New Roman"/>
                <w:b/>
              </w:rPr>
              <w:t>specific activities</w:t>
            </w:r>
          </w:p>
        </w:tc>
        <w:tc>
          <w:tcPr>
            <w:tcW w:w="6628" w:type="dxa"/>
          </w:tcPr>
          <w:p w14:paraId="4593D7EC" w14:textId="77777777" w:rsidR="0074208A" w:rsidRPr="0074208A" w:rsidRDefault="0074208A" w:rsidP="007420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208A">
              <w:rPr>
                <w:rFonts w:ascii="Times New Roman" w:hAnsi="Times New Roman"/>
              </w:rPr>
              <w:t>- Course teaching activities according to the position;</w:t>
            </w:r>
          </w:p>
          <w:p w14:paraId="53CF6382" w14:textId="77777777" w:rsidR="0074208A" w:rsidRPr="0074208A" w:rsidRDefault="0074208A" w:rsidP="007420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208A">
              <w:rPr>
                <w:rFonts w:ascii="Times New Roman" w:hAnsi="Times New Roman"/>
              </w:rPr>
              <w:t>- Teaching activities practical works according to the job;</w:t>
            </w:r>
          </w:p>
          <w:p w14:paraId="562945D8" w14:textId="77777777" w:rsidR="0074208A" w:rsidRPr="0074208A" w:rsidRDefault="0074208A" w:rsidP="007420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208A">
              <w:rPr>
                <w:rFonts w:ascii="Times New Roman" w:hAnsi="Times New Roman"/>
              </w:rPr>
              <w:t>- Checks of control works, student evaluation activities;</w:t>
            </w:r>
          </w:p>
          <w:p w14:paraId="08696496" w14:textId="77777777" w:rsidR="0074208A" w:rsidRPr="0074208A" w:rsidRDefault="0074208A" w:rsidP="007420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208A">
              <w:rPr>
                <w:rFonts w:ascii="Times New Roman" w:hAnsi="Times New Roman"/>
              </w:rPr>
              <w:t>- Consultations for insured students in the regular subjects;</w:t>
            </w:r>
          </w:p>
          <w:p w14:paraId="4E447E4C" w14:textId="77777777" w:rsidR="0074208A" w:rsidRPr="0074208A" w:rsidRDefault="0074208A" w:rsidP="007420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208A">
              <w:rPr>
                <w:rFonts w:ascii="Times New Roman" w:hAnsi="Times New Roman"/>
              </w:rPr>
              <w:t>- Participation in scientific events;</w:t>
            </w:r>
          </w:p>
          <w:p w14:paraId="34ADFF1B" w14:textId="77777777" w:rsidR="0074208A" w:rsidRPr="0074208A" w:rsidRDefault="0074208A" w:rsidP="007420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208A">
              <w:rPr>
                <w:rFonts w:ascii="Times New Roman" w:hAnsi="Times New Roman"/>
              </w:rPr>
              <w:t>- Guiding student scientific circles;</w:t>
            </w:r>
          </w:p>
          <w:p w14:paraId="12206BF4" w14:textId="77777777" w:rsidR="0074208A" w:rsidRPr="0074208A" w:rsidRDefault="0074208A" w:rsidP="007420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208A">
              <w:rPr>
                <w:rFonts w:ascii="Times New Roman" w:hAnsi="Times New Roman"/>
              </w:rPr>
              <w:t>- Development of teaching materials;</w:t>
            </w:r>
          </w:p>
          <w:p w14:paraId="00DA2B83" w14:textId="77777777" w:rsidR="0074208A" w:rsidRPr="0074208A" w:rsidRDefault="0074208A" w:rsidP="007420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208A">
              <w:rPr>
                <w:rFonts w:ascii="Times New Roman" w:hAnsi="Times New Roman"/>
              </w:rPr>
              <w:t>- Scientific research activity, elaboration and publication of specialized articles and books;</w:t>
            </w:r>
          </w:p>
          <w:p w14:paraId="4CC3F916" w14:textId="77777777" w:rsidR="0074208A" w:rsidRPr="0074208A" w:rsidRDefault="0074208A" w:rsidP="007420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208A">
              <w:rPr>
                <w:rFonts w:ascii="Times New Roman" w:hAnsi="Times New Roman"/>
              </w:rPr>
              <w:t>- Documentation and improvement activities within the disciplines;</w:t>
            </w:r>
          </w:p>
          <w:p w14:paraId="15379930" w14:textId="77777777" w:rsidR="00E40EB6" w:rsidRPr="00B070EC" w:rsidRDefault="0074208A" w:rsidP="0074208A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74208A">
              <w:rPr>
                <w:rFonts w:ascii="Times New Roman" w:hAnsi="Times New Roman"/>
              </w:rPr>
              <w:t>- Other activities for the practical and t</w:t>
            </w:r>
            <w:r>
              <w:rPr>
                <w:rFonts w:ascii="Times New Roman" w:hAnsi="Times New Roman"/>
              </w:rPr>
              <w:t>heoretical training of students</w:t>
            </w:r>
          </w:p>
        </w:tc>
      </w:tr>
      <w:tr w:rsidR="00E40EB6" w:rsidRPr="00C900ED" w14:paraId="1755D41C" w14:textId="77777777" w:rsidTr="008E0017">
        <w:tc>
          <w:tcPr>
            <w:tcW w:w="2722" w:type="dxa"/>
          </w:tcPr>
          <w:p w14:paraId="416211BB" w14:textId="77777777" w:rsidR="00E40EB6" w:rsidRPr="00B070EC" w:rsidRDefault="0074208A" w:rsidP="00B072CD">
            <w:pPr>
              <w:pStyle w:val="MediumGrid21"/>
              <w:rPr>
                <w:rFonts w:ascii="Times New Roman" w:hAnsi="Times New Roman"/>
                <w:b/>
              </w:rPr>
            </w:pPr>
            <w:r w:rsidRPr="0074208A"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</w:rPr>
              <w:t>e theme</w:t>
            </w:r>
            <w:r w:rsidR="00D96103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 xml:space="preserve"> of the competition</w:t>
            </w:r>
          </w:p>
        </w:tc>
        <w:tc>
          <w:tcPr>
            <w:tcW w:w="6628" w:type="dxa"/>
          </w:tcPr>
          <w:p w14:paraId="6A4F0E92" w14:textId="77777777" w:rsidR="0074208A" w:rsidRPr="0074208A" w:rsidRDefault="0074208A" w:rsidP="0074208A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 w:rsidRPr="0074208A">
              <w:rPr>
                <w:rFonts w:ascii="Times New Roman" w:hAnsi="Times New Roman"/>
                <w:b/>
              </w:rPr>
              <w:t>TOPICS</w:t>
            </w:r>
            <w:r w:rsidR="00D96103">
              <w:rPr>
                <w:rFonts w:ascii="Times New Roman" w:hAnsi="Times New Roman"/>
                <w:b/>
              </w:rPr>
              <w:t>:</w:t>
            </w:r>
          </w:p>
          <w:p w14:paraId="75EED67F" w14:textId="77777777" w:rsidR="00D044AC" w:rsidRPr="00D044AC" w:rsidRDefault="0074208A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74208A">
              <w:rPr>
                <w:rFonts w:ascii="Times New Roman" w:hAnsi="Times New Roman"/>
              </w:rPr>
              <w:t xml:space="preserve">- </w:t>
            </w:r>
            <w:r w:rsidR="00D044AC" w:rsidRPr="00D044AC">
              <w:rPr>
                <w:rFonts w:ascii="Times New Roman" w:hAnsi="Times New Roman"/>
              </w:rPr>
              <w:t>Clinical approach of the digestive patient</w:t>
            </w:r>
          </w:p>
          <w:p w14:paraId="66A7AFB5" w14:textId="77777777" w:rsidR="00D044AC" w:rsidRPr="00D044AC" w:rsidRDefault="00D044AC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044AC">
              <w:rPr>
                <w:rFonts w:ascii="Times New Roman" w:hAnsi="Times New Roman"/>
              </w:rPr>
              <w:t>- Clinical approach of the polyuro-polydipsic patient</w:t>
            </w:r>
          </w:p>
          <w:p w14:paraId="4A0CB069" w14:textId="77777777" w:rsidR="00D044AC" w:rsidRPr="00D044AC" w:rsidRDefault="00D044AC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044AC">
              <w:rPr>
                <w:rFonts w:ascii="Times New Roman" w:hAnsi="Times New Roman"/>
              </w:rPr>
              <w:t>- Clinical approach of the dyspneic patient</w:t>
            </w:r>
          </w:p>
          <w:p w14:paraId="63D87712" w14:textId="77777777" w:rsidR="00D044AC" w:rsidRPr="00D044AC" w:rsidRDefault="00D044AC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044AC">
              <w:rPr>
                <w:rFonts w:ascii="Times New Roman" w:hAnsi="Times New Roman"/>
              </w:rPr>
              <w:t>- Disc herniation</w:t>
            </w:r>
          </w:p>
          <w:p w14:paraId="025CDFF5" w14:textId="77777777" w:rsidR="00D044AC" w:rsidRPr="00D044AC" w:rsidRDefault="00D044AC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044AC">
              <w:rPr>
                <w:rFonts w:ascii="Times New Roman" w:hAnsi="Times New Roman"/>
              </w:rPr>
              <w:t>- The main medical and infectious diseases of the digestive tract in pets and their therapy</w:t>
            </w:r>
          </w:p>
          <w:p w14:paraId="40087B7E" w14:textId="77777777" w:rsidR="00D044AC" w:rsidRPr="00D044AC" w:rsidRDefault="00D044AC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044AC">
              <w:rPr>
                <w:rFonts w:ascii="Times New Roman" w:hAnsi="Times New Roman"/>
              </w:rPr>
              <w:t>- The main medical, infectious and parasitic diseases of the respiratory system in pets and their therapy</w:t>
            </w:r>
          </w:p>
          <w:p w14:paraId="2076612D" w14:textId="77777777" w:rsidR="00D044AC" w:rsidRPr="00D044AC" w:rsidRDefault="00D044AC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044AC">
              <w:rPr>
                <w:rFonts w:ascii="Times New Roman" w:hAnsi="Times New Roman"/>
              </w:rPr>
              <w:t>- The main medical and surgical conditions of the urinary tract in pets and their therapy</w:t>
            </w:r>
          </w:p>
          <w:p w14:paraId="787AC200" w14:textId="77777777" w:rsidR="00D044AC" w:rsidRPr="00D044AC" w:rsidRDefault="00D044AC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044AC">
              <w:rPr>
                <w:rFonts w:ascii="Times New Roman" w:hAnsi="Times New Roman"/>
              </w:rPr>
              <w:t>- The main nutritional and metabolic disorders in pets and their therapy</w:t>
            </w:r>
          </w:p>
          <w:p w14:paraId="18718538" w14:textId="77777777" w:rsidR="00D044AC" w:rsidRPr="00D044AC" w:rsidRDefault="00D044AC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044AC">
              <w:rPr>
                <w:rFonts w:ascii="Times New Roman" w:hAnsi="Times New Roman"/>
              </w:rPr>
              <w:t>- Neurological examination and neurolocation</w:t>
            </w:r>
          </w:p>
          <w:p w14:paraId="56107BB3" w14:textId="77777777" w:rsidR="00D044AC" w:rsidRPr="00D044AC" w:rsidRDefault="00D044AC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044AC">
              <w:rPr>
                <w:rFonts w:ascii="Times New Roman" w:hAnsi="Times New Roman"/>
              </w:rPr>
              <w:lastRenderedPageBreak/>
              <w:t>- Epilepsy. Epileptic status</w:t>
            </w:r>
          </w:p>
          <w:p w14:paraId="5166715F" w14:textId="77777777" w:rsidR="00D044AC" w:rsidRPr="00D044AC" w:rsidRDefault="00D044AC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044AC">
              <w:rPr>
                <w:rFonts w:ascii="Times New Roman" w:hAnsi="Times New Roman"/>
              </w:rPr>
              <w:t>- Diseases of the brain, brainstem, vestibular apparatus, cerebellum, spinal cord</w:t>
            </w:r>
          </w:p>
          <w:p w14:paraId="62182034" w14:textId="77777777" w:rsidR="00D044AC" w:rsidRPr="00D044AC" w:rsidRDefault="00D044AC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044AC">
              <w:rPr>
                <w:rFonts w:ascii="Times New Roman" w:hAnsi="Times New Roman"/>
              </w:rPr>
              <w:t>- Multifocal neurological disorders</w:t>
            </w:r>
          </w:p>
          <w:p w14:paraId="52984ACC" w14:textId="77777777" w:rsidR="00D044AC" w:rsidRPr="00D044AC" w:rsidRDefault="00D044AC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044AC">
              <w:rPr>
                <w:rFonts w:ascii="Times New Roman" w:hAnsi="Times New Roman"/>
              </w:rPr>
              <w:t>- Neurological emergencies</w:t>
            </w:r>
          </w:p>
          <w:p w14:paraId="377A6122" w14:textId="77777777" w:rsidR="00D044AC" w:rsidRPr="00D044AC" w:rsidRDefault="00D044AC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044AC">
              <w:rPr>
                <w:rFonts w:ascii="Times New Roman" w:hAnsi="Times New Roman"/>
              </w:rPr>
              <w:t>- Clinical approach of the digestive patient</w:t>
            </w:r>
          </w:p>
          <w:p w14:paraId="6CED13D7" w14:textId="77777777" w:rsidR="00D044AC" w:rsidRPr="00D044AC" w:rsidRDefault="00D044AC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044AC">
              <w:rPr>
                <w:rFonts w:ascii="Times New Roman" w:hAnsi="Times New Roman"/>
              </w:rPr>
              <w:t>- Clinical approach of the polyuro-polydipsic patient</w:t>
            </w:r>
          </w:p>
          <w:p w14:paraId="5E1F0BAD" w14:textId="77777777" w:rsidR="00D044AC" w:rsidRPr="00D044AC" w:rsidRDefault="00D044AC" w:rsidP="00D044AC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D044AC">
              <w:rPr>
                <w:rFonts w:ascii="Times New Roman" w:hAnsi="Times New Roman"/>
              </w:rPr>
              <w:t>- Clinical approach of the dyspneic patient</w:t>
            </w:r>
          </w:p>
          <w:p w14:paraId="680FCD54" w14:textId="77777777" w:rsidR="00D044AC" w:rsidRPr="00627494" w:rsidRDefault="00D044AC" w:rsidP="00D044A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27494">
              <w:rPr>
                <w:rFonts w:ascii="Times New Roman" w:hAnsi="Times New Roman"/>
                <w:lang w:val="ro-RO"/>
              </w:rPr>
              <w:t>- Disc herniation</w:t>
            </w:r>
            <w:bookmarkStart w:id="1" w:name="_Hlk39669008"/>
          </w:p>
          <w:p w14:paraId="4144F56B" w14:textId="77777777" w:rsidR="00E40EB6" w:rsidRPr="00627494" w:rsidRDefault="00E40EB6" w:rsidP="00D044A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27494">
              <w:rPr>
                <w:rFonts w:ascii="Times New Roman" w:hAnsi="Times New Roman"/>
                <w:b/>
                <w:lang w:val="ro-RO"/>
              </w:rPr>
              <w:t>Bibliografie</w:t>
            </w:r>
          </w:p>
          <w:bookmarkEnd w:id="1"/>
          <w:p w14:paraId="0D87E4EA" w14:textId="77777777" w:rsidR="00E40EB6" w:rsidRPr="00026A83" w:rsidRDefault="00E40EB6" w:rsidP="00B072CD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026A83">
              <w:rPr>
                <w:rFonts w:ascii="Times New Roman" w:hAnsi="Times New Roman"/>
              </w:rPr>
              <w:t xml:space="preserve">1. BOLTE S. (1981) – Agresologie, anestezie şi terapie intensivă în medicină Veterinară, Ed. Ceres, Bucureşti </w:t>
            </w:r>
          </w:p>
          <w:p w14:paraId="31658CB9" w14:textId="77777777" w:rsidR="00E40EB6" w:rsidRPr="00026A83" w:rsidRDefault="00E40EB6" w:rsidP="00B072CD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026A83">
              <w:rPr>
                <w:rFonts w:ascii="Times New Roman" w:hAnsi="Times New Roman"/>
              </w:rPr>
              <w:t xml:space="preserve">2. BOLTE S. (1997) – Chirurgie veterinară. Ed. Brumar, Timişoara </w:t>
            </w:r>
          </w:p>
          <w:p w14:paraId="1FD45306" w14:textId="77777777" w:rsidR="00E40EB6" w:rsidRPr="00026A83" w:rsidRDefault="00E40EB6" w:rsidP="00B072CD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026A83">
              <w:rPr>
                <w:rFonts w:ascii="Times New Roman" w:hAnsi="Times New Roman"/>
              </w:rPr>
              <w:t xml:space="preserve">3. BURTAN I. (1991) – Curs de Propedeutică şi tehnică chirurgicală. C.M.U.A. Iaşi </w:t>
            </w:r>
          </w:p>
          <w:p w14:paraId="2F81E167" w14:textId="77777777" w:rsidR="00E40EB6" w:rsidRPr="00026A83" w:rsidRDefault="00E40EB6" w:rsidP="00B072CD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026A83">
              <w:rPr>
                <w:rFonts w:ascii="Times New Roman" w:hAnsi="Times New Roman"/>
              </w:rPr>
              <w:t xml:space="preserve">4.BURTAN L.C.(2011)- Propedeutică chirurgicală şi anesteziologie. Ed. Tehnopress Iasi </w:t>
            </w:r>
          </w:p>
          <w:p w14:paraId="24B0E631" w14:textId="77777777" w:rsidR="00E40EB6" w:rsidRPr="00026A83" w:rsidRDefault="00E40EB6" w:rsidP="00B072CD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026A83">
              <w:rPr>
                <w:rFonts w:ascii="Times New Roman" w:hAnsi="Times New Roman"/>
              </w:rPr>
              <w:t>5.BURTAN L.C.(2017)- Ghid practic de anesteziologie si propedeutica chirurgicala. Ed. Tehnopress Iasi</w:t>
            </w:r>
          </w:p>
          <w:p w14:paraId="317B9B00" w14:textId="77777777" w:rsidR="00E40EB6" w:rsidRPr="00026A83" w:rsidRDefault="00E40EB6" w:rsidP="00B072CD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026A83">
              <w:rPr>
                <w:rFonts w:ascii="Times New Roman" w:hAnsi="Times New Roman"/>
              </w:rPr>
              <w:t xml:space="preserve">4. FANTANARIU M. (2015) – Tehnici chirurgicale veterinare. Ed. Ion Ionescu de la Brad Iasi 7. </w:t>
            </w:r>
          </w:p>
          <w:p w14:paraId="6DF6277D" w14:textId="77777777" w:rsidR="00E40EB6" w:rsidRPr="00A45BAA" w:rsidRDefault="00E40EB6" w:rsidP="00B072CD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026A83">
              <w:rPr>
                <w:rFonts w:ascii="Times New Roman" w:hAnsi="Times New Roman"/>
              </w:rPr>
              <w:t>5.IGNEA C.(2005)-Tehnici chirurgicale veterinare.Ed.Brumar Timisoara</w:t>
            </w:r>
          </w:p>
        </w:tc>
      </w:tr>
      <w:tr w:rsidR="00E40EB6" w:rsidRPr="00B070EC" w14:paraId="27CB0296" w14:textId="77777777" w:rsidTr="008E0017">
        <w:tc>
          <w:tcPr>
            <w:tcW w:w="2722" w:type="dxa"/>
          </w:tcPr>
          <w:p w14:paraId="52B6E6A6" w14:textId="77777777" w:rsidR="00E40EB6" w:rsidRPr="00B070EC" w:rsidRDefault="00D96103" w:rsidP="00B072CD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Salary payment</w:t>
            </w:r>
          </w:p>
        </w:tc>
        <w:tc>
          <w:tcPr>
            <w:tcW w:w="6628" w:type="dxa"/>
          </w:tcPr>
          <w:p w14:paraId="4DBB5C26" w14:textId="77777777" w:rsidR="00E40EB6" w:rsidRPr="00B070EC" w:rsidRDefault="00CB56FF" w:rsidP="00B072CD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CB56FF">
              <w:rPr>
                <w:rFonts w:ascii="Times New Roman" w:hAnsi="Times New Roman"/>
              </w:rPr>
              <w:t xml:space="preserve">The position of Assoc. </w:t>
            </w:r>
            <w:r>
              <w:rPr>
                <w:rFonts w:ascii="Times New Roman" w:hAnsi="Times New Roman"/>
              </w:rPr>
              <w:t>Prof. dr. will be paid according to L</w:t>
            </w:r>
            <w:r w:rsidRPr="00CB56FF">
              <w:rPr>
                <w:rFonts w:ascii="Times New Roman" w:hAnsi="Times New Roman"/>
              </w:rPr>
              <w:t xml:space="preserve">aw 153/2018, with the amount of </w:t>
            </w:r>
            <w:r w:rsidR="00D021A9">
              <w:rPr>
                <w:rFonts w:ascii="Times New Roman" w:hAnsi="Times New Roman"/>
              </w:rPr>
              <w:t xml:space="preserve">4821 </w:t>
            </w:r>
            <w:r w:rsidRPr="00CB56FF">
              <w:rPr>
                <w:rFonts w:ascii="Times New Roman" w:hAnsi="Times New Roman"/>
              </w:rPr>
              <w:t>lei.</w:t>
            </w:r>
          </w:p>
        </w:tc>
      </w:tr>
    </w:tbl>
    <w:p w14:paraId="322EF3BC" w14:textId="77777777" w:rsidR="00E40EB6" w:rsidRPr="00B617C7" w:rsidRDefault="00E40EB6" w:rsidP="00B617C7">
      <w:pPr>
        <w:spacing w:after="0" w:line="240" w:lineRule="auto"/>
        <w:rPr>
          <w:rFonts w:ascii="Times New Roman" w:hAnsi="Times New Roman" w:cs="Times New Roman"/>
        </w:rPr>
      </w:pPr>
    </w:p>
    <w:sectPr w:rsidR="00E40EB6" w:rsidRPr="00B617C7" w:rsidSect="007F450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C7"/>
    <w:rsid w:val="001366F1"/>
    <w:rsid w:val="00171407"/>
    <w:rsid w:val="00353C45"/>
    <w:rsid w:val="00627494"/>
    <w:rsid w:val="0074208A"/>
    <w:rsid w:val="007F4500"/>
    <w:rsid w:val="008E0017"/>
    <w:rsid w:val="00922AD2"/>
    <w:rsid w:val="00B1151D"/>
    <w:rsid w:val="00B617C7"/>
    <w:rsid w:val="00C874A5"/>
    <w:rsid w:val="00C900ED"/>
    <w:rsid w:val="00CB56FF"/>
    <w:rsid w:val="00D021A9"/>
    <w:rsid w:val="00D044AC"/>
    <w:rsid w:val="00D96103"/>
    <w:rsid w:val="00E4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1B76D"/>
  <w15:docId w15:val="{0FAF8A02-DA4E-49BC-9730-CD49EA2E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E40EB6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ColorfulList-Accent11">
    <w:name w:val="Colorful List - Accent 11"/>
    <w:basedOn w:val="Normal"/>
    <w:qFormat/>
    <w:rsid w:val="00E40E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Vulpe</dc:creator>
  <cp:keywords/>
  <dc:description/>
  <cp:lastModifiedBy>Windows User</cp:lastModifiedBy>
  <cp:revision>12</cp:revision>
  <dcterms:created xsi:type="dcterms:W3CDTF">2021-05-16T10:06:00Z</dcterms:created>
  <dcterms:modified xsi:type="dcterms:W3CDTF">2021-05-18T08:08:00Z</dcterms:modified>
</cp:coreProperties>
</file>