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2DBF" w14:textId="77777777" w:rsidR="00461C35" w:rsidRPr="00171B47" w:rsidRDefault="006905D0" w:rsidP="006905D0">
      <w:pPr>
        <w:pStyle w:val="MediumGrid21"/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UNIVERSITATEA DE ŞTIINŢE AGRICOLE ŞI MEDICINĂ VETERINARĂ</w:t>
      </w:r>
    </w:p>
    <w:p w14:paraId="0F9EF8BE" w14:textId="77777777" w:rsidR="006905D0" w:rsidRPr="00171B47" w:rsidRDefault="006905D0" w:rsidP="006905D0">
      <w:pPr>
        <w:pStyle w:val="MediumGrid21"/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„ION IONESCU DE LA BRAD” DIN IAŞI</w:t>
      </w:r>
    </w:p>
    <w:p w14:paraId="60B94A58" w14:textId="77777777" w:rsidR="006905D0" w:rsidRPr="00171B47" w:rsidRDefault="006905D0" w:rsidP="006905D0">
      <w:pPr>
        <w:pStyle w:val="MediumGrid21"/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POSTURI SCOASE LA CONCURS – SEM. AL II-LEA</w:t>
      </w:r>
    </w:p>
    <w:p w14:paraId="3F65EA16" w14:textId="77777777" w:rsidR="006905D0" w:rsidRPr="00171B47" w:rsidRDefault="007F2729" w:rsidP="006905D0">
      <w:pPr>
        <w:pStyle w:val="MediumGrid21"/>
        <w:rPr>
          <w:rFonts w:ascii="Times New Roman" w:hAnsi="Times New Roman"/>
          <w:b/>
        </w:rPr>
      </w:pPr>
      <w:r w:rsidRPr="00171B47">
        <w:rPr>
          <w:rFonts w:ascii="Times New Roman" w:hAnsi="Times New Roman"/>
          <w:b/>
        </w:rPr>
        <w:t>AN UNIVERSITAR 2019/2020</w:t>
      </w:r>
    </w:p>
    <w:p w14:paraId="43D218D8" w14:textId="77777777" w:rsidR="002510B9" w:rsidRPr="00171B47" w:rsidRDefault="002510B9" w:rsidP="006905D0">
      <w:pPr>
        <w:pStyle w:val="MediumGrid21"/>
        <w:rPr>
          <w:rFonts w:ascii="Times New Roman" w:hAnsi="Times New Roman"/>
          <w:b/>
        </w:rPr>
      </w:pPr>
    </w:p>
    <w:p w14:paraId="6E1001EA" w14:textId="752B2EE0" w:rsidR="00532D6B" w:rsidRDefault="00532D6B" w:rsidP="006905D0">
      <w:pPr>
        <w:pStyle w:val="MediumGrid21"/>
        <w:rPr>
          <w:rFonts w:ascii="Times New Roman" w:hAnsi="Times New Roman"/>
          <w:b/>
        </w:rPr>
      </w:pPr>
    </w:p>
    <w:p w14:paraId="14B244F5" w14:textId="160C2EF7" w:rsidR="00E54BF6" w:rsidRDefault="00E54BF6" w:rsidP="006905D0">
      <w:pPr>
        <w:pStyle w:val="MediumGrid21"/>
        <w:rPr>
          <w:rFonts w:ascii="Times New Roman" w:hAnsi="Times New Roman"/>
          <w:b/>
        </w:rPr>
      </w:pPr>
    </w:p>
    <w:p w14:paraId="6C7289E7" w14:textId="77777777" w:rsidR="00E54BF6" w:rsidRPr="00171B47" w:rsidRDefault="00E54BF6" w:rsidP="006905D0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2"/>
        <w:gridCol w:w="7062"/>
      </w:tblGrid>
      <w:tr w:rsidR="00B070EC" w:rsidRPr="00B070EC" w14:paraId="1556C249" w14:textId="77777777" w:rsidTr="00196429">
        <w:tc>
          <w:tcPr>
            <w:tcW w:w="9854" w:type="dxa"/>
            <w:gridSpan w:val="2"/>
          </w:tcPr>
          <w:p w14:paraId="772659FA" w14:textId="77777777" w:rsidR="007C3266" w:rsidRPr="00B070EC" w:rsidRDefault="00846722" w:rsidP="00196429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B070EC" w:rsidRPr="00B070EC" w14:paraId="42BB9740" w14:textId="77777777" w:rsidTr="00196429">
        <w:tc>
          <w:tcPr>
            <w:tcW w:w="2660" w:type="dxa"/>
          </w:tcPr>
          <w:p w14:paraId="3C6824BD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025645AC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  <w:bCs/>
              </w:rPr>
              <w:t>A</w:t>
            </w:r>
            <w:r w:rsidR="007F2729" w:rsidRPr="00B070EC">
              <w:rPr>
                <w:rFonts w:ascii="Times New Roman" w:hAnsi="Times New Roman"/>
                <w:b/>
                <w:bCs/>
              </w:rPr>
              <w:t xml:space="preserve">sistent universitar pe perioadă </w:t>
            </w:r>
            <w:r w:rsidRPr="00B070EC">
              <w:rPr>
                <w:rFonts w:ascii="Times New Roman" w:hAnsi="Times New Roman"/>
                <w:b/>
                <w:bCs/>
              </w:rPr>
              <w:t>nedeterminată</w:t>
            </w:r>
          </w:p>
        </w:tc>
      </w:tr>
      <w:tr w:rsidR="00B070EC" w:rsidRPr="00B070EC" w14:paraId="597EFBF4" w14:textId="77777777" w:rsidTr="00196429">
        <w:tc>
          <w:tcPr>
            <w:tcW w:w="2660" w:type="dxa"/>
          </w:tcPr>
          <w:p w14:paraId="31A63BD5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51523318" w14:textId="77777777" w:rsidR="00103F5B" w:rsidRPr="00B070EC" w:rsidRDefault="009C56F1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X/30</w:t>
            </w:r>
          </w:p>
        </w:tc>
      </w:tr>
      <w:tr w:rsidR="00B070EC" w:rsidRPr="00B070EC" w14:paraId="1706D9F6" w14:textId="77777777" w:rsidTr="00196429">
        <w:tc>
          <w:tcPr>
            <w:tcW w:w="2660" w:type="dxa"/>
          </w:tcPr>
          <w:p w14:paraId="7794B07B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1E434DA8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Facultatea de Medicină Veterinară</w:t>
            </w:r>
          </w:p>
        </w:tc>
      </w:tr>
      <w:tr w:rsidR="00B070EC" w:rsidRPr="00B070EC" w14:paraId="152CEC6F" w14:textId="77777777" w:rsidTr="00196429">
        <w:tc>
          <w:tcPr>
            <w:tcW w:w="2660" w:type="dxa"/>
          </w:tcPr>
          <w:p w14:paraId="7CE4611E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606EC949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Sănătate publică</w:t>
            </w:r>
          </w:p>
        </w:tc>
      </w:tr>
      <w:tr w:rsidR="00B070EC" w:rsidRPr="00B070EC" w14:paraId="36A0E7D9" w14:textId="77777777" w:rsidTr="00196429">
        <w:tc>
          <w:tcPr>
            <w:tcW w:w="2660" w:type="dxa"/>
          </w:tcPr>
          <w:p w14:paraId="77771BEA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2F76C5B0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 xml:space="preserve">- </w:t>
            </w:r>
            <w:r w:rsidR="00F50C7A" w:rsidRPr="00B070EC">
              <w:rPr>
                <w:rFonts w:ascii="Times New Roman" w:hAnsi="Times New Roman"/>
                <w:b/>
              </w:rPr>
              <w:t xml:space="preserve">Boli infecțioase, medicină preventivă și prelegeri clinice pe specii </w:t>
            </w:r>
          </w:p>
          <w:p w14:paraId="7A8AB724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 xml:space="preserve">- </w:t>
            </w:r>
            <w:r w:rsidR="00F50C7A" w:rsidRPr="00B070EC">
              <w:rPr>
                <w:rFonts w:ascii="Times New Roman" w:hAnsi="Times New Roman"/>
                <w:b/>
              </w:rPr>
              <w:t>Prelegeri clinice suine, păsări și leporide</w:t>
            </w:r>
          </w:p>
        </w:tc>
      </w:tr>
      <w:tr w:rsidR="00B070EC" w:rsidRPr="00B070EC" w14:paraId="1EFD817D" w14:textId="77777777" w:rsidTr="00196429">
        <w:tc>
          <w:tcPr>
            <w:tcW w:w="2660" w:type="dxa"/>
          </w:tcPr>
          <w:p w14:paraId="55EB4EC4" w14:textId="485A9831" w:rsidR="00103F5B" w:rsidRPr="00B070EC" w:rsidRDefault="007E0814" w:rsidP="00196429">
            <w:pPr>
              <w:pStyle w:val="MediumGrid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  <w:bookmarkStart w:id="0" w:name="_GoBack"/>
            <w:bookmarkEnd w:id="0"/>
          </w:p>
        </w:tc>
        <w:tc>
          <w:tcPr>
            <w:tcW w:w="7194" w:type="dxa"/>
          </w:tcPr>
          <w:p w14:paraId="3F39945D" w14:textId="77777777" w:rsidR="00103F5B" w:rsidRPr="00B070EC" w:rsidRDefault="002444B2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B070EC" w:rsidRPr="00B070EC" w14:paraId="69F2940D" w14:textId="77777777" w:rsidTr="00196429">
        <w:tc>
          <w:tcPr>
            <w:tcW w:w="2660" w:type="dxa"/>
          </w:tcPr>
          <w:p w14:paraId="7E5D59BF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5E48DD36" w14:textId="2058F26D" w:rsidR="00103F5B" w:rsidRDefault="00103F5B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 xml:space="preserve">Postul de </w:t>
            </w:r>
            <w:r w:rsidR="00507A76" w:rsidRPr="00B070EC">
              <w:rPr>
                <w:rFonts w:ascii="Times New Roman" w:hAnsi="Times New Roman"/>
              </w:rPr>
              <w:t>asistent universitar</w:t>
            </w:r>
            <w:r w:rsidRPr="00B070EC">
              <w:rPr>
                <w:rFonts w:ascii="Times New Roman" w:hAnsi="Times New Roman"/>
              </w:rPr>
              <w:t xml:space="preserve">, pe perioadă nedeterminată, vacant, </w:t>
            </w:r>
            <w:r w:rsidRPr="00B070EC">
              <w:rPr>
                <w:rFonts w:ascii="Times New Roman" w:hAnsi="Times New Roman"/>
                <w:b/>
              </w:rPr>
              <w:t xml:space="preserve">nr. </w:t>
            </w:r>
            <w:r w:rsidR="006A0352" w:rsidRPr="00B070EC">
              <w:rPr>
                <w:rFonts w:ascii="Times New Roman" w:hAnsi="Times New Roman"/>
                <w:b/>
              </w:rPr>
              <w:t>X/</w:t>
            </w:r>
            <w:r w:rsidR="009C56F1" w:rsidRPr="00B070EC">
              <w:rPr>
                <w:rFonts w:ascii="Times New Roman" w:hAnsi="Times New Roman"/>
                <w:b/>
              </w:rPr>
              <w:t>30</w:t>
            </w:r>
            <w:r w:rsidRPr="00B070EC">
              <w:rPr>
                <w:rFonts w:ascii="Times New Roman" w:hAnsi="Times New Roman"/>
                <w:b/>
              </w:rPr>
              <w:t xml:space="preserve">, </w:t>
            </w:r>
            <w:r w:rsidRPr="00B070EC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F50C7A" w:rsidRPr="00B070EC">
              <w:rPr>
                <w:rFonts w:ascii="Times New Roman" w:hAnsi="Times New Roman"/>
              </w:rPr>
              <w:t>aprobat în anul universitar 2019–2020</w:t>
            </w:r>
            <w:r w:rsidRPr="00B070EC">
              <w:rPr>
                <w:rFonts w:ascii="Times New Roman" w:hAnsi="Times New Roman"/>
              </w:rPr>
              <w:t xml:space="preserve">, conţine o normă de </w:t>
            </w:r>
            <w:r w:rsidR="009C56F1" w:rsidRPr="00DB67D5">
              <w:rPr>
                <w:rFonts w:ascii="Times New Roman" w:hAnsi="Times New Roman"/>
                <w:b/>
                <w:bCs/>
              </w:rPr>
              <w:t>14</w:t>
            </w:r>
            <w:r w:rsidRPr="00DB67D5">
              <w:rPr>
                <w:rFonts w:ascii="Times New Roman" w:hAnsi="Times New Roman"/>
                <w:b/>
                <w:bCs/>
              </w:rPr>
              <w:t xml:space="preserve"> ore</w:t>
            </w:r>
            <w:r w:rsidRPr="00B070EC">
              <w:rPr>
                <w:rFonts w:ascii="Times New Roman" w:hAnsi="Times New Roman"/>
              </w:rPr>
              <w:t xml:space="preserve"> convenţionale, asigurate cu ore de lucrări practice, cu următoarea </w:t>
            </w:r>
            <w:r w:rsidR="00DB67D5" w:rsidRPr="00B070EC">
              <w:rPr>
                <w:rFonts w:ascii="Times New Roman" w:hAnsi="Times New Roman"/>
              </w:rPr>
              <w:t>distribuție</w:t>
            </w:r>
            <w:r w:rsidRPr="00B070EC">
              <w:rPr>
                <w:rFonts w:ascii="Times New Roman" w:hAnsi="Times New Roman"/>
              </w:rPr>
              <w:t xml:space="preserve"> semestrială pe discipline:</w:t>
            </w:r>
          </w:p>
          <w:p w14:paraId="33C83995" w14:textId="5CED4337" w:rsidR="00DB67D5" w:rsidRDefault="00DB67D5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_Hlk39669732"/>
            <w:r w:rsidRPr="00DB67D5">
              <w:rPr>
                <w:rFonts w:ascii="Times New Roman" w:hAnsi="Times New Roman"/>
                <w:b/>
                <w:bCs/>
                <w:i/>
                <w:iCs/>
              </w:rPr>
              <w:t>Semestrul I</w:t>
            </w:r>
            <w:bookmarkEnd w:id="1"/>
            <w:r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/>
              </w:rPr>
              <w:t xml:space="preserve"> 16 ore/săptămână - </w:t>
            </w:r>
            <w:r w:rsidRPr="00DB67D5">
              <w:rPr>
                <w:rFonts w:ascii="Times New Roman" w:hAnsi="Times New Roman"/>
              </w:rPr>
              <w:t xml:space="preserve">Prelegeri clinice suine, păsări și leporide </w:t>
            </w:r>
            <w:r>
              <w:rPr>
                <w:rFonts w:ascii="Times New Roman" w:hAnsi="Times New Roman"/>
              </w:rPr>
              <w:t xml:space="preserve">- </w:t>
            </w:r>
            <w:r w:rsidRPr="00DB67D5">
              <w:rPr>
                <w:rFonts w:ascii="Times New Roman" w:hAnsi="Times New Roman"/>
              </w:rPr>
              <w:t>10 ore lucrări practice</w:t>
            </w:r>
            <w:r>
              <w:rPr>
                <w:rFonts w:ascii="Times New Roman" w:hAnsi="Times New Roman"/>
              </w:rPr>
              <w:t xml:space="preserve">; </w:t>
            </w:r>
            <w:bookmarkStart w:id="2" w:name="_Hlk39669939"/>
            <w:r w:rsidRPr="00DB67D5">
              <w:rPr>
                <w:rFonts w:ascii="Times New Roman" w:hAnsi="Times New Roman"/>
              </w:rPr>
              <w:t xml:space="preserve">Boli infecțioase, medicină preventivă şi prelegeri clinice pe specii </w:t>
            </w:r>
            <w:r>
              <w:rPr>
                <w:rFonts w:ascii="Times New Roman" w:hAnsi="Times New Roman"/>
              </w:rPr>
              <w:t xml:space="preserve">(anul V) - </w:t>
            </w:r>
            <w:r w:rsidRPr="00DB67D5">
              <w:rPr>
                <w:rFonts w:ascii="Times New Roman" w:hAnsi="Times New Roman"/>
              </w:rPr>
              <w:t>6 ore lucrări practice</w:t>
            </w:r>
            <w:bookmarkEnd w:id="2"/>
            <w:r>
              <w:rPr>
                <w:rFonts w:ascii="Times New Roman" w:hAnsi="Times New Roman"/>
              </w:rPr>
              <w:t>;</w:t>
            </w:r>
          </w:p>
          <w:p w14:paraId="4269A52D" w14:textId="15677907" w:rsidR="001A6E48" w:rsidRPr="00DB67D5" w:rsidRDefault="00DB67D5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67D5">
              <w:rPr>
                <w:rFonts w:ascii="Times New Roman" w:hAnsi="Times New Roman"/>
                <w:b/>
                <w:bCs/>
                <w:i/>
                <w:iCs/>
              </w:rPr>
              <w:t>Semestrul I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I, </w:t>
            </w:r>
            <w:r w:rsidRPr="00DB67D5">
              <w:rPr>
                <w:rFonts w:ascii="Times New Roman" w:hAnsi="Times New Roman"/>
              </w:rPr>
              <w:t>12</w:t>
            </w:r>
            <w:r w:rsidR="00464DCD">
              <w:rPr>
                <w:rFonts w:ascii="Times New Roman" w:hAnsi="Times New Roman"/>
              </w:rPr>
              <w:t xml:space="preserve"> </w:t>
            </w:r>
            <w:r w:rsidRPr="00DB67D5">
              <w:rPr>
                <w:rFonts w:ascii="Times New Roman" w:hAnsi="Times New Roman"/>
              </w:rPr>
              <w:t>ore/săptămână</w:t>
            </w:r>
            <w:r>
              <w:rPr>
                <w:rFonts w:ascii="Times New Roman" w:hAnsi="Times New Roman"/>
              </w:rPr>
              <w:t xml:space="preserve"> - </w:t>
            </w:r>
            <w:bookmarkStart w:id="3" w:name="_Hlk39669945"/>
            <w:r w:rsidRPr="00DB67D5">
              <w:rPr>
                <w:rFonts w:ascii="Times New Roman" w:hAnsi="Times New Roman"/>
              </w:rPr>
              <w:t xml:space="preserve">Boli infecțioase, medicină preventivă şi prelegeri clinice pe specii </w:t>
            </w:r>
            <w:r>
              <w:rPr>
                <w:rFonts w:ascii="Times New Roman" w:hAnsi="Times New Roman"/>
              </w:rPr>
              <w:t xml:space="preserve">(anul V) </w:t>
            </w:r>
            <w:bookmarkEnd w:id="3"/>
            <w:r>
              <w:rPr>
                <w:rFonts w:ascii="Times New Roman" w:hAnsi="Times New Roman"/>
              </w:rPr>
              <w:t xml:space="preserve">- </w:t>
            </w:r>
            <w:bookmarkStart w:id="4" w:name="_Hlk39669960"/>
            <w:r w:rsidRPr="00DB67D5">
              <w:rPr>
                <w:rFonts w:ascii="Times New Roman" w:hAnsi="Times New Roman"/>
              </w:rPr>
              <w:t>6 ore lucrări practice</w:t>
            </w:r>
            <w:bookmarkEnd w:id="4"/>
            <w:r>
              <w:rPr>
                <w:rFonts w:ascii="Times New Roman" w:hAnsi="Times New Roman"/>
              </w:rPr>
              <w:t xml:space="preserve">; </w:t>
            </w:r>
            <w:r w:rsidRPr="00DB67D5">
              <w:rPr>
                <w:rFonts w:ascii="Times New Roman" w:hAnsi="Times New Roman"/>
              </w:rPr>
              <w:t xml:space="preserve">Boli infecțioase, medicină preventivă şi prelegeri clinice pe specii </w:t>
            </w:r>
            <w:r>
              <w:rPr>
                <w:rFonts w:ascii="Times New Roman" w:hAnsi="Times New Roman"/>
              </w:rPr>
              <w:t>(anul IV)</w:t>
            </w:r>
            <w:r w:rsidRPr="00DB67D5">
              <w:rPr>
                <w:rFonts w:ascii="Times New Roman" w:hAnsi="Times New Roman"/>
              </w:rPr>
              <w:t xml:space="preserve"> 6 ore lucrări practice</w:t>
            </w:r>
            <w:r>
              <w:rPr>
                <w:rFonts w:ascii="Times New Roman" w:hAnsi="Times New Roman"/>
              </w:rPr>
              <w:t>;</w:t>
            </w:r>
            <w:r w:rsidR="006A0352" w:rsidRPr="00B070EC">
              <w:rPr>
                <w:rFonts w:ascii="Times New Roman" w:hAnsi="Times New Roman"/>
              </w:rPr>
              <w:t xml:space="preserve"> </w:t>
            </w:r>
          </w:p>
        </w:tc>
      </w:tr>
      <w:tr w:rsidR="00B070EC" w:rsidRPr="00B070EC" w14:paraId="3735A668" w14:textId="77777777" w:rsidTr="00196429">
        <w:tc>
          <w:tcPr>
            <w:tcW w:w="2660" w:type="dxa"/>
          </w:tcPr>
          <w:p w14:paraId="1A26955C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553CADB5" w14:textId="40712D01" w:rsidR="00965231" w:rsidRPr="00B070EC" w:rsidRDefault="00103F5B" w:rsidP="0019642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70EC">
              <w:rPr>
                <w:rFonts w:ascii="Times New Roman" w:hAnsi="Times New Roman"/>
              </w:rPr>
              <w:t xml:space="preserve">- </w:t>
            </w:r>
            <w:r w:rsidR="00965231" w:rsidRPr="00B070EC">
              <w:rPr>
                <w:rFonts w:ascii="Times New Roman" w:hAnsi="Times New Roman"/>
              </w:rPr>
              <w:t xml:space="preserve">Efectuarea orelor de lucrări practice de </w:t>
            </w:r>
            <w:r w:rsidR="007F2729" w:rsidRPr="00B070EC">
              <w:rPr>
                <w:rFonts w:ascii="Times New Roman" w:hAnsi="Times New Roman"/>
              </w:rPr>
              <w:t xml:space="preserve">laborator </w:t>
            </w:r>
            <w:r w:rsidR="00965231" w:rsidRPr="00B070EC">
              <w:rPr>
                <w:rFonts w:ascii="Times New Roman" w:hAnsi="Times New Roman"/>
              </w:rPr>
              <w:t>conform statului de func</w:t>
            </w:r>
            <w:r w:rsidR="001F57A0" w:rsidRPr="00B070EC">
              <w:rPr>
                <w:rFonts w:ascii="Times New Roman" w:hAnsi="Times New Roman"/>
              </w:rPr>
              <w:t>ț</w:t>
            </w:r>
            <w:r w:rsidR="00965231" w:rsidRPr="00B070EC">
              <w:rPr>
                <w:rFonts w:ascii="Times New Roman" w:hAnsi="Times New Roman"/>
              </w:rPr>
              <w:t>iuni;</w:t>
            </w:r>
          </w:p>
          <w:p w14:paraId="13E0D6F1" w14:textId="35538F8B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 xml:space="preserve">- Pregătirea materialelor didactice necesare desfășurării orelor </w:t>
            </w:r>
            <w:r w:rsidR="006A0352" w:rsidRPr="00B070EC">
              <w:rPr>
                <w:rFonts w:ascii="Times New Roman" w:hAnsi="Times New Roman"/>
              </w:rPr>
              <w:t>conform statului de funcțiuni;</w:t>
            </w:r>
          </w:p>
          <w:p w14:paraId="33A29B64" w14:textId="77777777" w:rsidR="00D56DA8" w:rsidRPr="00B070EC" w:rsidRDefault="00D56DA8" w:rsidP="00196429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Asistenţă la procesul didactic (curs, lucrări practice);</w:t>
            </w:r>
          </w:p>
          <w:p w14:paraId="00301BE1" w14:textId="77777777" w:rsidR="00D56DA8" w:rsidRPr="00B070EC" w:rsidRDefault="00D56DA8" w:rsidP="00196429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Verificări lucrări control;</w:t>
            </w:r>
          </w:p>
          <w:p w14:paraId="50AA4454" w14:textId="61B690C6" w:rsidR="00D56DA8" w:rsidRPr="00B070EC" w:rsidRDefault="00D56DA8" w:rsidP="00196429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B070EC">
              <w:rPr>
                <w:rFonts w:ascii="Times New Roman" w:hAnsi="Times New Roman"/>
                <w:lang w:val="ro-RO"/>
              </w:rPr>
              <w:t>- Consultaţii pentru studenţi asigurate la disciplinele din normă</w:t>
            </w:r>
            <w:r w:rsidR="007F2729" w:rsidRPr="00B070EC">
              <w:rPr>
                <w:rFonts w:ascii="Times New Roman" w:hAnsi="Times New Roman"/>
                <w:lang w:val="ro-RO"/>
              </w:rPr>
              <w:t>;</w:t>
            </w:r>
          </w:p>
          <w:p w14:paraId="2F0C3032" w14:textId="77777777" w:rsidR="00D56DA8" w:rsidRPr="00B070EC" w:rsidRDefault="00D56DA8" w:rsidP="00196429">
            <w:pPr>
              <w:pStyle w:val="MediumGrid210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- Asistență la examene;</w:t>
            </w:r>
          </w:p>
          <w:p w14:paraId="01A1C2B0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Participare la manifestări ştiinţifice;</w:t>
            </w:r>
          </w:p>
          <w:p w14:paraId="35B68938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Îndrumare cercuri ştiinţifice studenţeşti;</w:t>
            </w:r>
          </w:p>
          <w:p w14:paraId="36BAF46D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szCs w:val="24"/>
              </w:rPr>
              <w:t>- Elaborare materiale didactice;</w:t>
            </w:r>
          </w:p>
          <w:p w14:paraId="3D3FB8B0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B070EC">
              <w:rPr>
                <w:rFonts w:ascii="Times New Roman" w:hAnsi="Times New Roman"/>
                <w:szCs w:val="24"/>
              </w:rPr>
              <w:t>- Activitate de cercetare ştiinţifică;</w:t>
            </w:r>
          </w:p>
          <w:p w14:paraId="509D0F87" w14:textId="77777777" w:rsidR="00D56DA8" w:rsidRPr="00B070EC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- Activități de documentare și perfecționare în cadrul disciplinelor;</w:t>
            </w:r>
          </w:p>
          <w:p w14:paraId="346994D8" w14:textId="77777777" w:rsidR="00D56DA8" w:rsidRPr="00B070EC" w:rsidRDefault="00D56DA8" w:rsidP="00196429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- Activități de laborator</w:t>
            </w:r>
            <w:r w:rsidR="00413796" w:rsidRPr="00B070EC">
              <w:rPr>
                <w:rFonts w:ascii="Times New Roman" w:hAnsi="Times New Roman"/>
                <w:szCs w:val="24"/>
              </w:rPr>
              <w:t>;</w:t>
            </w:r>
          </w:p>
          <w:p w14:paraId="51800466" w14:textId="77777777" w:rsidR="00103F5B" w:rsidRPr="00B070EC" w:rsidRDefault="00D56DA8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szCs w:val="24"/>
              </w:rPr>
              <w:t>- Alte activităţi pentru pregătirea practică şi teoretică a studenţilor</w:t>
            </w:r>
            <w:r w:rsidR="00413796" w:rsidRPr="00B070EC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070EC" w:rsidRPr="00B070EC" w14:paraId="035A8FCA" w14:textId="77777777" w:rsidTr="00196429">
        <w:tc>
          <w:tcPr>
            <w:tcW w:w="2660" w:type="dxa"/>
          </w:tcPr>
          <w:p w14:paraId="203DA618" w14:textId="77777777" w:rsidR="00103F5B" w:rsidRPr="00B070EC" w:rsidRDefault="00103F5B" w:rsidP="00196429">
            <w:pPr>
              <w:pStyle w:val="MediumGrid21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14:paraId="276500C7" w14:textId="24D5D4EE" w:rsidR="00464DCD" w:rsidRDefault="00464DCD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TEMATICA</w:t>
            </w:r>
            <w:bookmarkStart w:id="5" w:name="_Hlk39669008"/>
          </w:p>
          <w:p w14:paraId="15E64409" w14:textId="77777777" w:rsidR="00464DCD" w:rsidRDefault="00464DCD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</w:p>
          <w:p w14:paraId="0D8FF00D" w14:textId="0777B1A2" w:rsidR="006A0352" w:rsidRPr="00B070EC" w:rsidRDefault="00464DCD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6A0352" w:rsidRPr="00B070EC">
              <w:rPr>
                <w:rFonts w:ascii="Times New Roman" w:hAnsi="Times New Roman"/>
                <w:b/>
              </w:rPr>
              <w:t>Boli infecțioase, medicină preventivă și prelegeri clinice pe specii</w:t>
            </w:r>
            <w:r w:rsidR="00B070EC">
              <w:rPr>
                <w:rFonts w:ascii="Times New Roman" w:hAnsi="Times New Roman"/>
                <w:b/>
              </w:rPr>
              <w:t xml:space="preserve"> (</w:t>
            </w:r>
            <w:bookmarkStart w:id="6" w:name="_Hlk39668992"/>
            <w:r w:rsidR="00B070EC">
              <w:rPr>
                <w:rFonts w:ascii="Times New Roman" w:hAnsi="Times New Roman"/>
                <w:b/>
              </w:rPr>
              <w:t>anul IV</w:t>
            </w:r>
            <w:bookmarkEnd w:id="6"/>
            <w:r w:rsidR="00B070EC">
              <w:rPr>
                <w:rFonts w:ascii="Times New Roman" w:hAnsi="Times New Roman"/>
                <w:b/>
              </w:rPr>
              <w:t>)</w:t>
            </w:r>
            <w:bookmarkEnd w:id="5"/>
          </w:p>
          <w:p w14:paraId="65F8C81C" w14:textId="77777777" w:rsidR="006A0352" w:rsidRPr="00B070EC" w:rsidRDefault="006A0352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Antraxul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combatere, pe specii</w:t>
            </w:r>
          </w:p>
          <w:p w14:paraId="1421CC84" w14:textId="77777777" w:rsidR="00211F10" w:rsidRPr="00B070EC" w:rsidRDefault="006A0352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 xml:space="preserve">Tetanosul </w:t>
            </w:r>
            <w:r w:rsidR="00211F10" w:rsidRPr="00B070EC">
              <w:rPr>
                <w:rFonts w:ascii="Times New Roman" w:hAnsi="Times New Roman"/>
              </w:rPr>
              <w:t>etiologie, caractere epidemiologice, patogeneză, tabloul clinic, tabloul anatomopatologic, diagnostic, profilaxie și combatere, pe specii</w:t>
            </w:r>
          </w:p>
          <w:p w14:paraId="6FAF9E78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Tifopuloroza</w:t>
            </w:r>
            <w:r w:rsidRPr="00B070EC">
              <w:rPr>
                <w:rFonts w:ascii="Times New Roman" w:hAnsi="Times New Roman"/>
              </w:rPr>
              <w:t xml:space="preserve"> etiologie, caractere epidemiologice, patogeneză, tabloul clinic, tabloul anatomopatologic, diagnostic, profilaxie și combatere</w:t>
            </w:r>
          </w:p>
          <w:p w14:paraId="3F5F5C7A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Pasteureloza aviară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486B89F7" w14:textId="3D9ACC9F" w:rsidR="00211F10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Boala lui Carre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76A8C9BF" w14:textId="77777777" w:rsidR="00464DCD" w:rsidRPr="00B070EC" w:rsidRDefault="00464DCD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</w:p>
          <w:p w14:paraId="67A79D0D" w14:textId="05D65754" w:rsidR="00B070EC" w:rsidRDefault="00464DCD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2. </w:t>
            </w:r>
            <w:r w:rsidR="00B070EC" w:rsidRPr="00B070EC">
              <w:rPr>
                <w:rFonts w:ascii="Times New Roman" w:hAnsi="Times New Roman"/>
                <w:b/>
              </w:rPr>
              <w:t>Boli infecțioase, medicină preventivă și prelegeri clinice pe specii</w:t>
            </w:r>
            <w:r w:rsidR="00B070EC">
              <w:rPr>
                <w:rFonts w:ascii="Times New Roman" w:hAnsi="Times New Roman"/>
                <w:b/>
              </w:rPr>
              <w:t xml:space="preserve"> (anul V)</w:t>
            </w:r>
          </w:p>
          <w:p w14:paraId="609893CF" w14:textId="794F060A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Parvoviroza canină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586B4630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Coriza infecțioasă a pisicilor</w:t>
            </w:r>
            <w:r w:rsidRPr="00B070EC">
              <w:rPr>
                <w:rFonts w:ascii="Times New Roman" w:hAnsi="Times New Roman"/>
              </w:rPr>
              <w:t xml:space="preserve">: </w:t>
            </w:r>
            <w:bookmarkStart w:id="7" w:name="_Hlk39668958"/>
            <w:r w:rsidRPr="00B070EC">
              <w:rPr>
                <w:rFonts w:ascii="Times New Roman" w:hAnsi="Times New Roman"/>
              </w:rPr>
              <w:t>etiologie, caractere epidemiologice, patogeneză, tabloul clinic, tabloul anatomopatologic, diagnostic, profilaxie și combatere</w:t>
            </w:r>
            <w:bookmarkEnd w:id="7"/>
          </w:p>
          <w:p w14:paraId="26707F0C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Necrobacilozele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combatere, pe specii</w:t>
            </w:r>
          </w:p>
          <w:p w14:paraId="44C6C082" w14:textId="3EB86890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Colibaciloza vițeilor</w:t>
            </w:r>
            <w:r w:rsidR="00B070EC">
              <w:rPr>
                <w:rFonts w:ascii="Times New Roman" w:hAnsi="Times New Roman"/>
                <w:b/>
              </w:rPr>
              <w:t>:</w:t>
            </w:r>
            <w:r w:rsidR="00B070EC" w:rsidRPr="00B070EC">
              <w:rPr>
                <w:rFonts w:ascii="Times New Roman" w:hAnsi="Times New Roman"/>
              </w:rPr>
              <w:t xml:space="preserve"> etiologie, caractere epidemiologice, patogeneză, tabloul clinic, tabloul anatomopatologic, diagnostic, profilaxie și combatere</w:t>
            </w:r>
          </w:p>
          <w:p w14:paraId="69C037E3" w14:textId="77777777" w:rsidR="00464DCD" w:rsidRPr="00B070EC" w:rsidRDefault="00464DCD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</w:p>
          <w:p w14:paraId="3C98319A" w14:textId="18C53462" w:rsidR="006A0352" w:rsidRPr="00B070EC" w:rsidRDefault="00464DCD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="006A0352" w:rsidRPr="00B070EC">
              <w:rPr>
                <w:rFonts w:ascii="Times New Roman" w:hAnsi="Times New Roman"/>
                <w:b/>
              </w:rPr>
              <w:t>Prelegeri clinice suine, păsări și leporide</w:t>
            </w:r>
          </w:p>
          <w:p w14:paraId="35B3AA14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Tuberculoza aviară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48907F88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Micoplasmoza respiratorie aviară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6A795C12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Bronșita infecțioasă aviară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5DC8AC9A" w14:textId="77777777" w:rsidR="00464DCD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Mixomatoza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17BB1083" w14:textId="1C28A182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Boala hemoragică a iepurilor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7E7534F2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Pasteureloza iepurilor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717D336E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Rujetul</w:t>
            </w:r>
            <w:r w:rsidRPr="00B070EC">
              <w:rPr>
                <w:rFonts w:ascii="Times New Roman" w:hAnsi="Times New Roman"/>
              </w:rPr>
              <w:t>: etiologie, caractere epidemiologice, patogeneză, tabloul clinic, tabloul anatomopatologic, diagnostic, profilaxie și combatere</w:t>
            </w:r>
          </w:p>
          <w:p w14:paraId="6B2AE531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Colibaciloza purceilor</w:t>
            </w:r>
            <w:r w:rsidRPr="00B070EC">
              <w:rPr>
                <w:rFonts w:ascii="Times New Roman" w:hAnsi="Times New Roman"/>
              </w:rPr>
              <w:t xml:space="preserve"> etiologie, caractere epidemiologice, patogeneză, tabloul clinic, tabloul anatomopatologic, diagnostic, profilaxie și combatere</w:t>
            </w:r>
          </w:p>
          <w:p w14:paraId="67A767BC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Gastroenterita transmisibilă</w:t>
            </w:r>
            <w:r w:rsidRPr="00B070EC">
              <w:rPr>
                <w:rFonts w:ascii="Times New Roman" w:hAnsi="Times New Roman"/>
              </w:rPr>
              <w:t xml:space="preserve"> etiologie, caractere epidemiologice, patogeneză, tabloul clinic, tabloul anatomopatologic, diagnostic, profilaxie și combatere</w:t>
            </w:r>
          </w:p>
          <w:p w14:paraId="1C437689" w14:textId="77777777" w:rsidR="00211F10" w:rsidRPr="00B070EC" w:rsidRDefault="00211F10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</w:p>
          <w:p w14:paraId="63271413" w14:textId="77777777" w:rsidR="00103F5B" w:rsidRPr="00B070EC" w:rsidRDefault="00103F5B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t>Bibliografia</w:t>
            </w:r>
          </w:p>
          <w:p w14:paraId="653157E2" w14:textId="4CB5F216" w:rsidR="00103F5B" w:rsidRPr="00B070EC" w:rsidRDefault="00211F10" w:rsidP="00196429">
            <w:pPr>
              <w:pStyle w:val="MediumGrid21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 xml:space="preserve">Perianu T. </w:t>
            </w:r>
            <w:r w:rsidR="00171B47" w:rsidRPr="00B070EC">
              <w:rPr>
                <w:rFonts w:ascii="Times New Roman" w:hAnsi="Times New Roman"/>
                <w:b/>
              </w:rPr>
              <w:t>și colab.,</w:t>
            </w:r>
            <w:r w:rsidR="00171B47" w:rsidRPr="00B070EC">
              <w:rPr>
                <w:rFonts w:ascii="Times New Roman" w:hAnsi="Times New Roman"/>
              </w:rPr>
              <w:t xml:space="preserve"> 2011</w:t>
            </w:r>
            <w:r w:rsidR="00103F5B" w:rsidRPr="00B070EC">
              <w:rPr>
                <w:rFonts w:ascii="Times New Roman" w:hAnsi="Times New Roman"/>
              </w:rPr>
              <w:t xml:space="preserve">– </w:t>
            </w:r>
            <w:r w:rsidR="00171B47" w:rsidRPr="00B070EC">
              <w:rPr>
                <w:rFonts w:ascii="Times New Roman" w:hAnsi="Times New Roman"/>
                <w:i/>
              </w:rPr>
              <w:t>Tratat de boli infecțioase ale animalelor. Bacterioze. Volumul 1</w:t>
            </w:r>
            <w:r w:rsidR="00171B47" w:rsidRPr="00B070EC">
              <w:rPr>
                <w:rFonts w:ascii="Times New Roman" w:hAnsi="Times New Roman"/>
              </w:rPr>
              <w:t>, Editura Universitas XXI, Iași, ISBN 978-606-538</w:t>
            </w:r>
            <w:r w:rsidR="00103F5B" w:rsidRPr="00B070EC">
              <w:rPr>
                <w:rFonts w:ascii="Times New Roman" w:hAnsi="Times New Roman"/>
              </w:rPr>
              <w:t>-</w:t>
            </w:r>
            <w:r w:rsidR="00171B47" w:rsidRPr="00B070EC">
              <w:rPr>
                <w:rFonts w:ascii="Times New Roman" w:hAnsi="Times New Roman"/>
              </w:rPr>
              <w:t>068-4.</w:t>
            </w:r>
          </w:p>
          <w:p w14:paraId="310553D7" w14:textId="77777777" w:rsidR="00103F5B" w:rsidRPr="00B070EC" w:rsidRDefault="00171B47" w:rsidP="00196429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>Perianu T. și colab.,</w:t>
            </w:r>
            <w:r w:rsidRPr="00B070EC">
              <w:rPr>
                <w:rFonts w:ascii="Times New Roman" w:hAnsi="Times New Roman"/>
              </w:rPr>
              <w:t xml:space="preserve"> 2012– </w:t>
            </w:r>
            <w:r w:rsidRPr="00B070EC">
              <w:rPr>
                <w:rFonts w:ascii="Times New Roman" w:hAnsi="Times New Roman"/>
                <w:i/>
              </w:rPr>
              <w:t>Tratat de boli infecțioase ale animalelor. Viroze și boli prionice. Volumul 2</w:t>
            </w:r>
            <w:r w:rsidRPr="00B070EC">
              <w:rPr>
                <w:rFonts w:ascii="Times New Roman" w:hAnsi="Times New Roman"/>
              </w:rPr>
              <w:t>, Editura Universitas XXI, Iași, ISBN 978-606-538-084-4.</w:t>
            </w:r>
          </w:p>
          <w:p w14:paraId="346E37AC" w14:textId="77777777" w:rsidR="00171B47" w:rsidRPr="00B070EC" w:rsidRDefault="00171B47" w:rsidP="00196429">
            <w:pPr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  <w:b/>
              </w:rPr>
              <w:t xml:space="preserve">Tanase Irina-Oana, Daraban Florentina, </w:t>
            </w:r>
            <w:r w:rsidRPr="00B070EC">
              <w:rPr>
                <w:rFonts w:ascii="Times New Roman" w:hAnsi="Times New Roman"/>
              </w:rPr>
              <w:t>2015 – Boli infecțioase ale animalelor. Îndrumător de lucrări practice. Editura Ion Ionescu de la Brad, Iași, ISBN 978-973-147-201-0</w:t>
            </w:r>
          </w:p>
        </w:tc>
      </w:tr>
      <w:tr w:rsidR="00B070EC" w:rsidRPr="00B070EC" w14:paraId="1DCBDCFF" w14:textId="77777777" w:rsidTr="00196429">
        <w:tc>
          <w:tcPr>
            <w:tcW w:w="2660" w:type="dxa"/>
          </w:tcPr>
          <w:p w14:paraId="444AE4BE" w14:textId="77777777" w:rsidR="00103F5B" w:rsidRPr="00B070EC" w:rsidRDefault="00103F5B" w:rsidP="00196429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B070EC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083614E2" w14:textId="4E29E516" w:rsidR="00103F5B" w:rsidRPr="00B070EC" w:rsidRDefault="00103F5B" w:rsidP="00196429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B070EC">
              <w:rPr>
                <w:rFonts w:ascii="Times New Roman" w:hAnsi="Times New Roman"/>
              </w:rPr>
              <w:t>Postul de</w:t>
            </w:r>
            <w:r w:rsidR="00CB1268" w:rsidRPr="00B070EC">
              <w:rPr>
                <w:rFonts w:ascii="Times New Roman" w:hAnsi="Times New Roman"/>
              </w:rPr>
              <w:t xml:space="preserve"> asi</w:t>
            </w:r>
            <w:r w:rsidR="005419FD" w:rsidRPr="00B070EC">
              <w:rPr>
                <w:rFonts w:ascii="Times New Roman" w:hAnsi="Times New Roman"/>
              </w:rPr>
              <w:t>s</w:t>
            </w:r>
            <w:r w:rsidR="00CB1268" w:rsidRPr="00B070EC">
              <w:rPr>
                <w:rFonts w:ascii="Times New Roman" w:hAnsi="Times New Roman"/>
              </w:rPr>
              <w:t>tent universitar</w:t>
            </w:r>
            <w:r w:rsidRPr="00B070EC">
              <w:rPr>
                <w:rFonts w:ascii="Times New Roman" w:hAnsi="Times New Roman"/>
              </w:rPr>
              <w:t xml:space="preserve"> va fi salarizat cf. Legii 153/2018</w:t>
            </w:r>
            <w:r w:rsidR="009F2D08" w:rsidRPr="00B070EC">
              <w:rPr>
                <w:rFonts w:ascii="Times New Roman" w:hAnsi="Times New Roman"/>
              </w:rPr>
              <w:t xml:space="preserve">, cu suma de </w:t>
            </w:r>
            <w:r w:rsidR="004645C6" w:rsidRPr="00B070EC">
              <w:rPr>
                <w:rFonts w:ascii="Times New Roman" w:hAnsi="Times New Roman"/>
              </w:rPr>
              <w:t>4157</w:t>
            </w:r>
            <w:r w:rsidR="009F2D08" w:rsidRPr="00B070EC">
              <w:rPr>
                <w:rFonts w:ascii="Times New Roman" w:hAnsi="Times New Roman"/>
              </w:rPr>
              <w:t xml:space="preserve"> </w:t>
            </w:r>
            <w:r w:rsidRPr="00B070EC">
              <w:rPr>
                <w:rFonts w:ascii="Times New Roman" w:hAnsi="Times New Roman"/>
              </w:rPr>
              <w:t>lei.</w:t>
            </w:r>
          </w:p>
        </w:tc>
      </w:tr>
    </w:tbl>
    <w:p w14:paraId="29F4C38C" w14:textId="77777777" w:rsidR="007C3266" w:rsidRPr="00171B47" w:rsidRDefault="007C3266" w:rsidP="006905D0">
      <w:pPr>
        <w:pStyle w:val="MediumGrid21"/>
        <w:rPr>
          <w:rFonts w:ascii="Times New Roman" w:hAnsi="Times New Roman"/>
          <w:b/>
        </w:rPr>
      </w:pPr>
    </w:p>
    <w:sectPr w:rsidR="007C3266" w:rsidRPr="00171B47" w:rsidSect="00EF0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FC9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A54DF"/>
    <w:multiLevelType w:val="hybridMultilevel"/>
    <w:tmpl w:val="49641A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1C1C1C"/>
    <w:multiLevelType w:val="hybridMultilevel"/>
    <w:tmpl w:val="621E91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2A3"/>
    <w:multiLevelType w:val="hybridMultilevel"/>
    <w:tmpl w:val="4AD2E4E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13DF7"/>
    <w:multiLevelType w:val="hybridMultilevel"/>
    <w:tmpl w:val="28D4BC32"/>
    <w:lvl w:ilvl="0" w:tplc="4520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67684"/>
    <w:multiLevelType w:val="hybridMultilevel"/>
    <w:tmpl w:val="0DEC8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37794C"/>
    <w:multiLevelType w:val="hybridMultilevel"/>
    <w:tmpl w:val="7584EC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AB80B28"/>
    <w:multiLevelType w:val="hybridMultilevel"/>
    <w:tmpl w:val="856A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35BFC"/>
    <w:multiLevelType w:val="hybridMultilevel"/>
    <w:tmpl w:val="5C92C63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007"/>
    <w:rsid w:val="000061A3"/>
    <w:rsid w:val="00025CFD"/>
    <w:rsid w:val="000E0FD1"/>
    <w:rsid w:val="00103F5B"/>
    <w:rsid w:val="0016283E"/>
    <w:rsid w:val="00171B47"/>
    <w:rsid w:val="001915B3"/>
    <w:rsid w:val="00196429"/>
    <w:rsid w:val="001A25CE"/>
    <w:rsid w:val="001A6E48"/>
    <w:rsid w:val="001C1022"/>
    <w:rsid w:val="001F57A0"/>
    <w:rsid w:val="00211F10"/>
    <w:rsid w:val="002444B2"/>
    <w:rsid w:val="002510B9"/>
    <w:rsid w:val="002B31A1"/>
    <w:rsid w:val="002C66A9"/>
    <w:rsid w:val="003115AE"/>
    <w:rsid w:val="003474E9"/>
    <w:rsid w:val="00371D48"/>
    <w:rsid w:val="003901A9"/>
    <w:rsid w:val="003A224A"/>
    <w:rsid w:val="003D1617"/>
    <w:rsid w:val="00413796"/>
    <w:rsid w:val="004467F7"/>
    <w:rsid w:val="00453ADC"/>
    <w:rsid w:val="004555F2"/>
    <w:rsid w:val="00461C35"/>
    <w:rsid w:val="004645C6"/>
    <w:rsid w:val="00464DCD"/>
    <w:rsid w:val="004F64CB"/>
    <w:rsid w:val="00507A76"/>
    <w:rsid w:val="00532D6B"/>
    <w:rsid w:val="005351F7"/>
    <w:rsid w:val="005419FD"/>
    <w:rsid w:val="00574A4E"/>
    <w:rsid w:val="005B7B0D"/>
    <w:rsid w:val="0061749B"/>
    <w:rsid w:val="00633CE6"/>
    <w:rsid w:val="00650998"/>
    <w:rsid w:val="006905D0"/>
    <w:rsid w:val="006A0352"/>
    <w:rsid w:val="006E3B8E"/>
    <w:rsid w:val="0078185A"/>
    <w:rsid w:val="00795C9C"/>
    <w:rsid w:val="007C3266"/>
    <w:rsid w:val="007D0CA5"/>
    <w:rsid w:val="007E0814"/>
    <w:rsid w:val="007E63CC"/>
    <w:rsid w:val="007F2729"/>
    <w:rsid w:val="00832FED"/>
    <w:rsid w:val="008370DB"/>
    <w:rsid w:val="00840781"/>
    <w:rsid w:val="00846722"/>
    <w:rsid w:val="0088338E"/>
    <w:rsid w:val="008B5F42"/>
    <w:rsid w:val="008C1D0C"/>
    <w:rsid w:val="00965231"/>
    <w:rsid w:val="009A27CF"/>
    <w:rsid w:val="009C56F1"/>
    <w:rsid w:val="009D4D52"/>
    <w:rsid w:val="009E350B"/>
    <w:rsid w:val="009F2D08"/>
    <w:rsid w:val="00A06F0B"/>
    <w:rsid w:val="00A2745D"/>
    <w:rsid w:val="00A342D8"/>
    <w:rsid w:val="00A57BFC"/>
    <w:rsid w:val="00A634B8"/>
    <w:rsid w:val="00A76103"/>
    <w:rsid w:val="00A85C3B"/>
    <w:rsid w:val="00AE3838"/>
    <w:rsid w:val="00B070EC"/>
    <w:rsid w:val="00B265A3"/>
    <w:rsid w:val="00BA540B"/>
    <w:rsid w:val="00C627FF"/>
    <w:rsid w:val="00C763F6"/>
    <w:rsid w:val="00C86309"/>
    <w:rsid w:val="00C97198"/>
    <w:rsid w:val="00CB1268"/>
    <w:rsid w:val="00CD048E"/>
    <w:rsid w:val="00D56DA8"/>
    <w:rsid w:val="00D759EA"/>
    <w:rsid w:val="00DB67D5"/>
    <w:rsid w:val="00DD2B94"/>
    <w:rsid w:val="00DF3154"/>
    <w:rsid w:val="00E01FE3"/>
    <w:rsid w:val="00E54BF6"/>
    <w:rsid w:val="00ED270B"/>
    <w:rsid w:val="00EE26B0"/>
    <w:rsid w:val="00EF0FE5"/>
    <w:rsid w:val="00F24339"/>
    <w:rsid w:val="00F32151"/>
    <w:rsid w:val="00F46007"/>
    <w:rsid w:val="00F46262"/>
    <w:rsid w:val="00F50C7A"/>
    <w:rsid w:val="00F62898"/>
    <w:rsid w:val="00F7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1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">
    <w:name w:val="Caracter Caracter1 Caracter Char"/>
    <w:basedOn w:val="Normal"/>
    <w:rsid w:val="004555F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4555F2"/>
    <w:pPr>
      <w:ind w:left="720"/>
      <w:contextualSpacing/>
    </w:pPr>
    <w:rPr>
      <w:lang w:val="en-US"/>
    </w:rPr>
  </w:style>
  <w:style w:type="paragraph" w:customStyle="1" w:styleId="MediumGrid210">
    <w:name w:val="Medium Grid 21"/>
    <w:uiPriority w:val="1"/>
    <w:qFormat/>
    <w:rsid w:val="00D56DA8"/>
    <w:rPr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Maria</cp:lastModifiedBy>
  <cp:revision>8</cp:revision>
  <cp:lastPrinted>2020-05-06T09:02:00Z</cp:lastPrinted>
  <dcterms:created xsi:type="dcterms:W3CDTF">2020-05-06T12:08:00Z</dcterms:created>
  <dcterms:modified xsi:type="dcterms:W3CDTF">2020-05-14T10:24:00Z</dcterms:modified>
</cp:coreProperties>
</file>