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D6" w:rsidRPr="00EF6ED7" w:rsidRDefault="00BF2693" w:rsidP="00CF5FDA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648D6" w:rsidRPr="00EF6ED7">
        <w:rPr>
          <w:rFonts w:ascii="Times New Roman" w:hAnsi="Times New Roman"/>
          <w:b/>
        </w:rPr>
        <w:t>UNIVERSITATEA DE ŞTIINŢE AGRICOLE ŞI MEDICINĂ VETERINARĂ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„ION IONESCU DE LA BRAD” DIN IAŞI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  <w:r w:rsidRPr="00EF6ED7">
        <w:rPr>
          <w:rFonts w:ascii="Times New Roman" w:hAnsi="Times New Roman"/>
          <w:b/>
        </w:rPr>
        <w:t>POSTURI SCOASE LA CONCURS – SEM. AL II-LEA</w:t>
      </w:r>
    </w:p>
    <w:p w:rsidR="003648D6" w:rsidRPr="00EF6ED7" w:rsidRDefault="00C77844" w:rsidP="00CF5FDA">
      <w:pPr>
        <w:pStyle w:val="NoSpacing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2017/2018</w:t>
      </w:r>
    </w:p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7194"/>
      </w:tblGrid>
      <w:tr w:rsidR="003648D6" w:rsidRPr="00EF6ED7" w:rsidTr="00BA540B">
        <w:tc>
          <w:tcPr>
            <w:tcW w:w="9854" w:type="dxa"/>
            <w:gridSpan w:val="2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:rsidR="003648D6" w:rsidRPr="001B6316" w:rsidRDefault="001B631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Conferenţiar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IX/</w:t>
            </w:r>
            <w:r w:rsidR="001B6316">
              <w:rPr>
                <w:rFonts w:ascii="Times New Roman" w:hAnsi="Times New Roman"/>
              </w:rPr>
              <w:t>8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:rsidR="003648D6" w:rsidRPr="007050CA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7050CA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Clinici IX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-</w:t>
            </w:r>
            <w:r w:rsidR="001B6316">
              <w:rPr>
                <w:rFonts w:ascii="Times New Roman" w:hAnsi="Times New Roman"/>
              </w:rPr>
              <w:t xml:space="preserve"> </w:t>
            </w:r>
            <w:r w:rsidR="001B6316" w:rsidRPr="00836E1F">
              <w:rPr>
                <w:rFonts w:ascii="Times New Roman" w:hAnsi="Times New Roman"/>
                <w:i/>
              </w:rPr>
              <w:t>Toxicologie</w:t>
            </w:r>
          </w:p>
          <w:p w:rsidR="003648D6" w:rsidRPr="00EF6ED7" w:rsidRDefault="001B6316" w:rsidP="002D56C1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36E1F">
              <w:rPr>
                <w:rFonts w:ascii="Times New Roman" w:hAnsi="Times New Roman"/>
                <w:i/>
              </w:rPr>
              <w:t>Clinica medica</w:t>
            </w:r>
            <w:r w:rsidR="003648D6" w:rsidRPr="00836E1F">
              <w:rPr>
                <w:rFonts w:ascii="Times New Roman" w:hAnsi="Times New Roman"/>
                <w:i/>
              </w:rPr>
              <w:t>lă și prelegeri clinice pe specii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</w:rPr>
            </w:pPr>
            <w:r w:rsidRPr="00EF6ED7">
              <w:rPr>
                <w:rFonts w:ascii="Times New Roman" w:hAnsi="Times New Roman"/>
              </w:rPr>
              <w:t>Medicină Veterinară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:rsidR="0010733B" w:rsidRPr="0010733B" w:rsidRDefault="0010733B" w:rsidP="0010733B">
            <w:pPr>
              <w:pStyle w:val="ListParagraph"/>
              <w:tabs>
                <w:tab w:val="left" w:pos="884"/>
              </w:tabs>
              <w:spacing w:after="0" w:line="240" w:lineRule="auto"/>
              <w:ind w:left="-108" w:firstLine="425"/>
              <w:jc w:val="both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</w:rPr>
              <w:t>Postul de conferenţiar universitar, pe perioadă nedeterminată, vacant, nr. IX/8, prevăzut în Statul de funcţiuni şi de personal didactic aprobat în anul universitar 2017–2018, conţine o normă de 12,0 ore convenţionale, asigurate cu ore de curs şi lucrări practice, cu următoarea distribuţie semestrială pe discipline:</w:t>
            </w:r>
          </w:p>
          <w:p w:rsidR="0010733B" w:rsidRPr="0010733B" w:rsidRDefault="0010733B" w:rsidP="0010733B">
            <w:pPr>
              <w:pStyle w:val="ListParagraph"/>
              <w:tabs>
                <w:tab w:val="left" w:pos="459"/>
              </w:tabs>
              <w:spacing w:after="0" w:line="240" w:lineRule="auto"/>
              <w:ind w:left="-108" w:firstLine="425"/>
              <w:jc w:val="both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</w:rPr>
              <w:t>-</w:t>
            </w:r>
            <w:r w:rsidRPr="0010733B">
              <w:rPr>
                <w:rFonts w:ascii="Times New Roman" w:hAnsi="Times New Roman"/>
              </w:rPr>
              <w:tab/>
            </w:r>
            <w:r w:rsidRPr="0010733B">
              <w:rPr>
                <w:rFonts w:ascii="Times New Roman" w:hAnsi="Times New Roman"/>
                <w:b/>
              </w:rPr>
              <w:t>Toxicologie</w:t>
            </w:r>
            <w:r w:rsidRPr="0010733B">
              <w:rPr>
                <w:rFonts w:ascii="Times New Roman" w:hAnsi="Times New Roman"/>
              </w:rPr>
              <w:t>, curs 2,0 ore sem.I, curs 2,0 ore sem.II, cu media 4,0 şi lucrări practice 8,0 ore sem.I</w:t>
            </w:r>
            <w:r>
              <w:rPr>
                <w:rFonts w:ascii="Times New Roman" w:hAnsi="Times New Roman"/>
              </w:rPr>
              <w:t xml:space="preserve"> şi  lucrări practice sem.II 6,0</w:t>
            </w:r>
            <w:r w:rsidRPr="0010733B">
              <w:rPr>
                <w:rFonts w:ascii="Times New Roman" w:hAnsi="Times New Roman"/>
              </w:rPr>
              <w:t>, cu media 7.</w:t>
            </w:r>
          </w:p>
          <w:p w:rsidR="003648D6" w:rsidRPr="00EF6ED7" w:rsidRDefault="0010733B" w:rsidP="0010733B">
            <w:pPr>
              <w:pStyle w:val="NoSpacing"/>
              <w:numPr>
                <w:ilvl w:val="0"/>
                <w:numId w:val="3"/>
              </w:numPr>
              <w:tabs>
                <w:tab w:val="left" w:pos="459"/>
              </w:tabs>
              <w:ind w:left="-108" w:firstLine="425"/>
              <w:jc w:val="both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  <w:b/>
              </w:rPr>
              <w:t>Clinica medicală și prelegeri clinice pe specii</w:t>
            </w:r>
            <w:r w:rsidRPr="0010733B">
              <w:rPr>
                <w:rFonts w:ascii="Times New Roman" w:hAnsi="Times New Roman"/>
              </w:rPr>
              <w:t>, lucrări practice 2,0 ore sem. I, media 1,0.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Susținerea orelor de curs și efectuarea orelor de lucrări practice de clinică pentru disciplinele din statul de funcţii, poziţia IX/8,</w:t>
            </w:r>
          </w:p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 xml:space="preserve"> Pregătirea activităţii didactice;</w:t>
            </w:r>
          </w:p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Elaborarea de materiale didactice în limbile: română și engleză;</w:t>
            </w:r>
          </w:p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Activități clinice: consultații, tratamente, recoltare probe pentru examene de laborator, efectuarea de examene paraclinice, înregistrări de cazuri;</w:t>
            </w:r>
          </w:p>
          <w:p w:rsidR="00D97E6E" w:rsidRPr="00D97E6E" w:rsidRDefault="00DE2B75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Verificări lucrări </w:t>
            </w:r>
            <w:r w:rsidR="00D97E6E" w:rsidRPr="00D97E6E">
              <w:rPr>
                <w:rFonts w:ascii="Times New Roman" w:hAnsi="Times New Roman"/>
              </w:rPr>
              <w:t>control;</w:t>
            </w:r>
          </w:p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Consultaţii pentru studenţi asigurate la disciplinele din normă;</w:t>
            </w:r>
          </w:p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Activitate de cercetare ştiinţifică:</w:t>
            </w:r>
          </w:p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Participarea la manifestări științifice;</w:t>
            </w:r>
          </w:p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Activităţi de promovare şi legătura cu mediul economic;</w:t>
            </w:r>
          </w:p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Participarea la activităţi civice, culturale, administrative şi de evaluare iniţiate de universitate;</w:t>
            </w:r>
          </w:p>
          <w:p w:rsidR="00D97E6E" w:rsidRPr="00D97E6E" w:rsidRDefault="00D97E6E" w:rsidP="00D97E6E">
            <w:pPr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-108" w:firstLine="283"/>
              <w:contextualSpacing/>
              <w:jc w:val="both"/>
              <w:rPr>
                <w:rFonts w:ascii="Times New Roman" w:hAnsi="Times New Roman"/>
              </w:rPr>
            </w:pPr>
            <w:r w:rsidRPr="00D97E6E">
              <w:rPr>
                <w:rFonts w:ascii="Times New Roman" w:hAnsi="Times New Roman"/>
              </w:rPr>
              <w:t>Alte activităţi pentru pregătirea practică şi teoretică a studenţilor;</w:t>
            </w:r>
          </w:p>
          <w:p w:rsidR="003648D6" w:rsidRPr="00D97E6E" w:rsidRDefault="00DE2B75" w:rsidP="00D97E6E">
            <w:pPr>
              <w:pStyle w:val="ListParagraph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5"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Servicii </w:t>
            </w:r>
            <w:r w:rsidR="00D97E6E" w:rsidRPr="00D97E6E">
              <w:rPr>
                <w:rFonts w:ascii="Times New Roman" w:hAnsi="Times New Roman"/>
              </w:rPr>
              <w:t>de gardă şi triaj clinic, conform planificării.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t>Tematica</w:t>
            </w:r>
          </w:p>
          <w:p w:rsidR="00307A6F" w:rsidRPr="00307A6F" w:rsidRDefault="003648D6" w:rsidP="00307A6F">
            <w:pPr>
              <w:pStyle w:val="BodyText2"/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</w:rPr>
            </w:pPr>
            <w:r w:rsidRPr="00307A6F">
              <w:rPr>
                <w:rFonts w:ascii="Times New Roman" w:hAnsi="Times New Roman"/>
              </w:rPr>
              <w:t xml:space="preserve">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Obiectul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toxicologiei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tipuri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de toxicologie;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definirea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toxicului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și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toxicită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ții;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factori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de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toxicitate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legați de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substanta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si de animal;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toxicitatea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supraacuta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-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socul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toxic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acuta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si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cronica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;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toxicitate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speciala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: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neurotoxicitatea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intarziata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sterilitatea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mutageneza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carcinogeneza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 xml:space="preserve">, </w:t>
            </w:r>
            <w:proofErr w:type="spellStart"/>
            <w:r w:rsidR="00307A6F" w:rsidRPr="00307A6F">
              <w:rPr>
                <w:rFonts w:ascii="Times New Roman" w:eastAsia="Times New Roman" w:hAnsi="Times New Roman"/>
                <w:lang w:val="fr-FR"/>
              </w:rPr>
              <w:t>teratogeneza</w:t>
            </w:r>
            <w:proofErr w:type="spellEnd"/>
            <w:r w:rsidR="00307A6F" w:rsidRPr="00307A6F">
              <w:rPr>
                <w:rFonts w:ascii="Times New Roman" w:eastAsia="Times New Roman" w:hAnsi="Times New Roman"/>
                <w:lang w:val="fr-FR"/>
              </w:rPr>
              <w:t> ;</w:t>
            </w:r>
          </w:p>
          <w:p w:rsidR="00307A6F" w:rsidRPr="00307A6F" w:rsidRDefault="00307A6F" w:rsidP="00307A6F">
            <w:pPr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</w:rPr>
            </w:pPr>
            <w:r w:rsidRPr="00307A6F">
              <w:rPr>
                <w:rFonts w:ascii="Times New Roman" w:eastAsia="Times New Roman" w:hAnsi="Times New Roman"/>
              </w:rPr>
              <w:t>Metabolismul toxicelor: cai de patrundere, absorbtie, metabolizare si eliminare; structura si functiunea sistemului MO Citocrom P450 dependent; inductia si inhibitia enzimatica</w:t>
            </w:r>
          </w:p>
          <w:p w:rsidR="00307A6F" w:rsidRPr="00307A6F" w:rsidRDefault="00307A6F" w:rsidP="00307A6F">
            <w:pPr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</w:rPr>
            </w:pPr>
            <w:r w:rsidRPr="00307A6F">
              <w:rPr>
                <w:rFonts w:ascii="Times New Roman" w:eastAsia="Times New Roman" w:hAnsi="Times New Roman"/>
              </w:rPr>
              <w:t>Principii generale de diagnostic toxicologic: date epidemiologice, clinice, morfopatologice, analitice si de testare biologica</w:t>
            </w:r>
          </w:p>
          <w:p w:rsidR="00307A6F" w:rsidRPr="00307A6F" w:rsidRDefault="008646D6" w:rsidP="00307A6F">
            <w:pPr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Principii generale de terapie ș</w:t>
            </w:r>
            <w:r w:rsidR="00307A6F" w:rsidRPr="00307A6F">
              <w:rPr>
                <w:rFonts w:ascii="Times New Roman" w:eastAsia="Times New Roman" w:hAnsi="Times New Roman"/>
              </w:rPr>
              <w:t>i profilaxie; atitudinea</w:t>
            </w:r>
            <w:r>
              <w:rPr>
                <w:rFonts w:ascii="Times New Roman" w:eastAsia="Times New Roman" w:hAnsi="Times New Roman"/>
              </w:rPr>
              <w:t xml:space="preserve"> medicală î</w:t>
            </w:r>
            <w:r w:rsidR="00307A6F" w:rsidRPr="00307A6F">
              <w:rPr>
                <w:rFonts w:ascii="Times New Roman" w:eastAsia="Times New Roman" w:hAnsi="Times New Roman"/>
              </w:rPr>
              <w:t>n urgentele toxicologice ale animalelor m</w:t>
            </w:r>
            <w:r>
              <w:rPr>
                <w:rFonts w:ascii="Times New Roman" w:eastAsia="Times New Roman" w:hAnsi="Times New Roman"/>
              </w:rPr>
              <w:t>ici si mari; profilaxia generală</w:t>
            </w:r>
            <w:r w:rsidR="00307A6F" w:rsidRPr="00307A6F">
              <w:rPr>
                <w:rFonts w:ascii="Times New Roman" w:eastAsia="Times New Roman" w:hAnsi="Times New Roman"/>
              </w:rPr>
              <w:t xml:space="preserve"> a toxicozelor</w:t>
            </w:r>
          </w:p>
          <w:p w:rsidR="00307A6F" w:rsidRPr="00307A6F" w:rsidRDefault="00307A6F" w:rsidP="00307A6F">
            <w:pPr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Intoxicaț</w:t>
            </w:r>
            <w:r w:rsidRPr="00307A6F">
              <w:rPr>
                <w:rFonts w:ascii="Times New Roman" w:eastAsia="Times New Roman" w:hAnsi="Times New Roman"/>
              </w:rPr>
              <w:t>ii provocate de aditivi furajeri: NaCl, uree si alti compusi azotati</w:t>
            </w:r>
          </w:p>
          <w:p w:rsidR="00307A6F" w:rsidRPr="00307A6F" w:rsidRDefault="00307A6F" w:rsidP="00307A6F">
            <w:pPr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Intoxicaț</w:t>
            </w:r>
            <w:r w:rsidRPr="00307A6F">
              <w:rPr>
                <w:rFonts w:ascii="Times New Roman" w:eastAsia="Times New Roman" w:hAnsi="Times New Roman"/>
              </w:rPr>
              <w:t>ii cu amendamente ale solului: nitrati-nitriti, fosfati</w:t>
            </w:r>
          </w:p>
          <w:p w:rsidR="00307A6F" w:rsidRPr="00307A6F" w:rsidRDefault="00307A6F" w:rsidP="00307A6F">
            <w:pPr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Intoxicaț</w:t>
            </w:r>
            <w:r w:rsidRPr="00307A6F">
              <w:rPr>
                <w:rFonts w:ascii="Times New Roman" w:eastAsia="Times New Roman" w:hAnsi="Times New Roman"/>
              </w:rPr>
              <w:t>ii cu pesticide: organoclorurate, organofosforice, carbamati, derivati cumarinici, ANTU, fosfura de zinc, stricnina, metaldehida, clorati, clorfenoxiderivati, , Pb, Hg, As anorganic si organic, Se, F</w:t>
            </w:r>
          </w:p>
          <w:p w:rsidR="00307A6F" w:rsidRPr="00307A6F" w:rsidRDefault="00307A6F" w:rsidP="00307A6F">
            <w:pPr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/>
              </w:rPr>
            </w:pPr>
            <w:r w:rsidRPr="00307A6F">
              <w:rPr>
                <w:rFonts w:ascii="Times New Roman" w:eastAsia="Times New Roman" w:hAnsi="Times New Roman"/>
              </w:rPr>
              <w:t>Toxicitatea radiatiei ionizante si  a substantelor  radiomimetice</w:t>
            </w:r>
          </w:p>
          <w:p w:rsidR="00307A6F" w:rsidRPr="00307A6F" w:rsidRDefault="00307A6F" w:rsidP="00307A6F">
            <w:pPr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307A6F">
              <w:rPr>
                <w:rFonts w:ascii="Times New Roman" w:hAnsi="Times New Roman"/>
                <w:lang w:val="fr-FR"/>
              </w:rPr>
              <w:lastRenderedPageBreak/>
              <w:t>Intoxicatii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toxice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naturale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plante: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solanina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nicotina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ac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.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oxalic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etilen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glicol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glicozizi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cianogenetici</w:t>
            </w:r>
            <w:proofErr w:type="spellEnd"/>
          </w:p>
          <w:p w:rsidR="00307A6F" w:rsidRPr="00307A6F" w:rsidRDefault="00307A6F" w:rsidP="00307A6F">
            <w:pPr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307A6F">
              <w:rPr>
                <w:rFonts w:ascii="Times New Roman" w:hAnsi="Times New Roman"/>
                <w:lang w:val="fr-FR"/>
              </w:rPr>
              <w:t>Intoxicatii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iatrogene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cu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medicamente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: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chimioterapice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antibiotice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neuroexcitante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neurodepresoare</w:t>
            </w:r>
            <w:proofErr w:type="spellEnd"/>
            <w:r w:rsidRPr="00307A6F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307A6F">
              <w:rPr>
                <w:rFonts w:ascii="Times New Roman" w:hAnsi="Times New Roman"/>
                <w:lang w:val="fr-FR"/>
              </w:rPr>
              <w:t>histaminoeliberatoare</w:t>
            </w:r>
            <w:proofErr w:type="spellEnd"/>
          </w:p>
          <w:p w:rsidR="003648D6" w:rsidRPr="008646D6" w:rsidRDefault="00307A6F" w:rsidP="008646D6">
            <w:pPr>
              <w:pStyle w:val="ListParagraph"/>
              <w:numPr>
                <w:ilvl w:val="0"/>
                <w:numId w:val="12"/>
              </w:numPr>
              <w:tabs>
                <w:tab w:val="left" w:pos="586"/>
              </w:tabs>
              <w:spacing w:after="0" w:line="240" w:lineRule="auto"/>
              <w:ind w:hanging="403"/>
              <w:jc w:val="both"/>
              <w:rPr>
                <w:rFonts w:ascii="Times New Roman" w:hAnsi="Times New Roman"/>
              </w:rPr>
            </w:pPr>
            <w:r w:rsidRPr="008646D6">
              <w:rPr>
                <w:rFonts w:ascii="Times New Roman" w:hAnsi="Times New Roman"/>
                <w:lang w:val="fr-FR"/>
              </w:rPr>
              <w:t>Ș</w:t>
            </w:r>
            <w:proofErr w:type="spellStart"/>
            <w:r w:rsidRPr="008646D6">
              <w:rPr>
                <w:rFonts w:ascii="Times New Roman" w:hAnsi="Times New Roman"/>
                <w:lang w:val="fr-FR"/>
              </w:rPr>
              <w:t>ocul</w:t>
            </w:r>
            <w:proofErr w:type="spellEnd"/>
            <w:r w:rsidRPr="008646D6">
              <w:rPr>
                <w:rFonts w:ascii="Times New Roman" w:hAnsi="Times New Roman"/>
                <w:lang w:val="fr-FR"/>
              </w:rPr>
              <w:t xml:space="preserve"> și </w:t>
            </w:r>
            <w:proofErr w:type="spellStart"/>
            <w:r w:rsidRPr="008646D6">
              <w:rPr>
                <w:rFonts w:ascii="Times New Roman" w:hAnsi="Times New Roman"/>
                <w:lang w:val="fr-FR"/>
              </w:rPr>
              <w:t>colapsul</w:t>
            </w:r>
            <w:proofErr w:type="spellEnd"/>
            <w:r w:rsidRPr="008646D6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8646D6">
              <w:rPr>
                <w:rFonts w:ascii="Times New Roman" w:hAnsi="Times New Roman"/>
                <w:lang w:val="fr-FR"/>
              </w:rPr>
              <w:t>vascular</w:t>
            </w:r>
            <w:proofErr w:type="spellEnd"/>
          </w:p>
          <w:p w:rsidR="008646D6" w:rsidRDefault="008646D6" w:rsidP="008646D6">
            <w:pPr>
              <w:tabs>
                <w:tab w:val="left" w:pos="58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85E5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Bibliografie</w:t>
            </w:r>
          </w:p>
          <w:p w:rsidR="00785E53" w:rsidRPr="00D4167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1. Beşchea Chiriac I. S.</w:t>
            </w:r>
            <w:r w:rsidRPr="00D41673">
              <w:rPr>
                <w:rFonts w:ascii="Times New Roman" w:hAnsi="Times New Roman"/>
              </w:rPr>
              <w:t xml:space="preserve"> - Toxicologie Veterinară, Editura” Ion Ionescu de la Brad”</w:t>
            </w:r>
            <w:r>
              <w:rPr>
                <w:rFonts w:ascii="Times New Roman" w:hAnsi="Times New Roman"/>
              </w:rPr>
              <w:t>,</w:t>
            </w:r>
            <w:r w:rsidRPr="00D41673">
              <w:rPr>
                <w:rFonts w:ascii="Times New Roman" w:hAnsi="Times New Roman"/>
              </w:rPr>
              <w:t xml:space="preserve"> Iași, 2017</w:t>
            </w:r>
          </w:p>
          <w:p w:rsidR="00785E53" w:rsidRPr="00D4167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2. Goran V. Gh</w:t>
            </w:r>
            <w:r>
              <w:rPr>
                <w:rFonts w:ascii="Times New Roman" w:hAnsi="Times New Roman"/>
                <w:b/>
              </w:rPr>
              <w:t>.</w:t>
            </w:r>
            <w:r w:rsidRPr="00651443">
              <w:rPr>
                <w:rFonts w:ascii="Times New Roman" w:hAnsi="Times New Roman"/>
                <w:b/>
              </w:rPr>
              <w:t>, Crivineanu V</w:t>
            </w:r>
            <w:r>
              <w:rPr>
                <w:rFonts w:ascii="Times New Roman" w:hAnsi="Times New Roman"/>
                <w:b/>
              </w:rPr>
              <w:t>.</w:t>
            </w:r>
            <w:r w:rsidRPr="00D41673">
              <w:rPr>
                <w:rFonts w:ascii="Times New Roman" w:hAnsi="Times New Roman"/>
              </w:rPr>
              <w:t xml:space="preserve"> – Toxicologie, Ed. Printech, București, 2016 </w:t>
            </w:r>
          </w:p>
          <w:p w:rsidR="00785E53" w:rsidRPr="00D4167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3. Grădinaru A.C., Solcan Gh., Guguianu Eleonora, Beșchea Chiriac S.I.</w:t>
            </w:r>
            <w:r w:rsidRPr="00D41673">
              <w:rPr>
                <w:rFonts w:ascii="Times New Roman" w:hAnsi="Times New Roman"/>
              </w:rPr>
              <w:t xml:space="preserve"> – Toxicologie și toxiinfecții alimentare, Ed. ”Ion Ionescu de la Brad”, Iași, 2016</w:t>
            </w:r>
          </w:p>
          <w:p w:rsidR="00785E53" w:rsidRPr="00D4167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4. Popescu O., Enache T.</w:t>
            </w:r>
            <w:r>
              <w:rPr>
                <w:rFonts w:ascii="Times New Roman" w:hAnsi="Times New Roman"/>
              </w:rPr>
              <w:t xml:space="preserve"> - Medicina Veterinară Legală (</w:t>
            </w:r>
            <w:r w:rsidRPr="00D41673">
              <w:rPr>
                <w:rFonts w:ascii="Times New Roman" w:hAnsi="Times New Roman"/>
              </w:rPr>
              <w:t>Toxicologie) II, Ed. All, Bu</w:t>
            </w:r>
            <w:r>
              <w:rPr>
                <w:rFonts w:ascii="Times New Roman" w:hAnsi="Times New Roman"/>
              </w:rPr>
              <w:t>cureș</w:t>
            </w:r>
            <w:r w:rsidRPr="00D41673">
              <w:rPr>
                <w:rFonts w:ascii="Times New Roman" w:hAnsi="Times New Roman"/>
              </w:rPr>
              <w:t>ti, 1996</w:t>
            </w:r>
          </w:p>
          <w:p w:rsidR="00785E5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 xml:space="preserve">6. </w:t>
            </w:r>
            <w:r>
              <w:rPr>
                <w:rFonts w:ascii="Times New Roman" w:hAnsi="Times New Roman"/>
                <w:b/>
              </w:rPr>
              <w:t xml:space="preserve">Solcan Gh., </w:t>
            </w:r>
            <w:r w:rsidRPr="00651443">
              <w:rPr>
                <w:rFonts w:ascii="Times New Roman" w:hAnsi="Times New Roman"/>
                <w:b/>
              </w:rPr>
              <w:t>Beşchea Chiriac</w:t>
            </w:r>
            <w:r>
              <w:rPr>
                <w:rFonts w:ascii="Times New Roman" w:hAnsi="Times New Roman"/>
                <w:b/>
              </w:rPr>
              <w:t xml:space="preserve"> I. S.</w:t>
            </w:r>
            <w:r w:rsidRPr="00D41673">
              <w:rPr>
                <w:rFonts w:ascii="Times New Roman" w:hAnsi="Times New Roman"/>
              </w:rPr>
              <w:t xml:space="preserve"> - Toxicologie Veterinară Manual Practic, Tehnopress, 2005</w:t>
            </w:r>
          </w:p>
          <w:p w:rsidR="00785E53" w:rsidRPr="00D4167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5. Sutean</w:t>
            </w:r>
            <w:r>
              <w:rPr>
                <w:rFonts w:ascii="Times New Roman" w:hAnsi="Times New Roman"/>
                <w:b/>
              </w:rPr>
              <w:t>u E., Danielescu N., Popescu O.,</w:t>
            </w:r>
            <w:r w:rsidRPr="00651443">
              <w:rPr>
                <w:rFonts w:ascii="Times New Roman" w:hAnsi="Times New Roman"/>
                <w:b/>
              </w:rPr>
              <w:t xml:space="preserve"> Trif.  A</w:t>
            </w:r>
            <w:r>
              <w:rPr>
                <w:rFonts w:ascii="Times New Roman" w:hAnsi="Times New Roman"/>
                <w:b/>
              </w:rPr>
              <w:t>.</w:t>
            </w:r>
            <w:r w:rsidRPr="00D41673">
              <w:rPr>
                <w:rFonts w:ascii="Times New Roman" w:hAnsi="Times New Roman"/>
              </w:rPr>
              <w:t xml:space="preserve"> - Toxicologie si Toxic</w:t>
            </w:r>
            <w:r>
              <w:rPr>
                <w:rFonts w:ascii="Times New Roman" w:hAnsi="Times New Roman"/>
              </w:rPr>
              <w:t>oze, EDP R.A., Bucuresti, 1995</w:t>
            </w:r>
          </w:p>
          <w:p w:rsidR="00785E53" w:rsidRPr="00D4167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7. Crivineanu V.,</w:t>
            </w:r>
            <w:r w:rsidRPr="00651443">
              <w:rPr>
                <w:rFonts w:ascii="Times New Roman" w:hAnsi="Times New Roman"/>
                <w:b/>
              </w:rPr>
              <w:t xml:space="preserve"> Goran</w:t>
            </w:r>
            <w:r>
              <w:rPr>
                <w:rFonts w:ascii="Times New Roman" w:hAnsi="Times New Roman"/>
                <w:b/>
              </w:rPr>
              <w:t xml:space="preserve"> Gh.</w:t>
            </w:r>
            <w:r w:rsidRPr="00D41673">
              <w:rPr>
                <w:rFonts w:ascii="Times New Roman" w:hAnsi="Times New Roman"/>
              </w:rPr>
              <w:t xml:space="preserve"> -  Toxicologie Veterinară – Editura Printech, 2004</w:t>
            </w:r>
          </w:p>
          <w:p w:rsidR="00785E53" w:rsidRPr="00D4167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8. Gupta R. C.</w:t>
            </w:r>
            <w:r w:rsidRPr="00D41673">
              <w:rPr>
                <w:rFonts w:ascii="Times New Roman" w:hAnsi="Times New Roman"/>
              </w:rPr>
              <w:t xml:space="preserve"> - Veterinary Toxicology – Basic and Clinical Principles, Ed. Academic Press Elsevier, New York, U.S.A, 2007;</w:t>
            </w:r>
          </w:p>
          <w:p w:rsidR="00785E53" w:rsidRPr="00D41673" w:rsidRDefault="00785E53" w:rsidP="00785E53">
            <w:pPr>
              <w:tabs>
                <w:tab w:val="left" w:pos="459"/>
              </w:tabs>
              <w:spacing w:after="0" w:line="240" w:lineRule="auto"/>
              <w:ind w:firstLine="283"/>
              <w:jc w:val="both"/>
              <w:rPr>
                <w:rFonts w:ascii="Times New Roman" w:hAnsi="Times New Roman"/>
              </w:rPr>
            </w:pPr>
            <w:r w:rsidRPr="00651443">
              <w:rPr>
                <w:rFonts w:ascii="Times New Roman" w:hAnsi="Times New Roman"/>
                <w:b/>
              </w:rPr>
              <w:t>9. Oros N.A.</w:t>
            </w:r>
            <w:r w:rsidRPr="00D41673">
              <w:rPr>
                <w:rFonts w:ascii="Times New Roman" w:hAnsi="Times New Roman"/>
              </w:rPr>
              <w:t xml:space="preserve"> - Introducere în Toxicologia Veterinară, Editura Risoprint Cluj Napoca, 2005</w:t>
            </w:r>
          </w:p>
          <w:p w:rsidR="008646D6" w:rsidRPr="008646D6" w:rsidRDefault="00785E53" w:rsidP="00976953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  <w:r w:rsidRPr="00651443">
              <w:rPr>
                <w:rFonts w:ascii="Times New Roman" w:hAnsi="Times New Roman"/>
                <w:b/>
              </w:rPr>
              <w:t>10. Solcan Gh., Beşchea Chiriac I. S.</w:t>
            </w:r>
            <w:r w:rsidRPr="00D41673">
              <w:rPr>
                <w:rFonts w:ascii="Times New Roman" w:hAnsi="Times New Roman"/>
              </w:rPr>
              <w:t xml:space="preserve"> - Toxicologie Veterinară Manual Practic, Tehnopress, 2005</w:t>
            </w:r>
          </w:p>
        </w:tc>
      </w:tr>
      <w:tr w:rsidR="003648D6" w:rsidRPr="00EF6ED7" w:rsidTr="00BA540B">
        <w:tc>
          <w:tcPr>
            <w:tcW w:w="2660" w:type="dxa"/>
          </w:tcPr>
          <w:p w:rsidR="003648D6" w:rsidRPr="00EF6ED7" w:rsidRDefault="003648D6" w:rsidP="00CF5FDA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EF6ED7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:rsidR="003648D6" w:rsidRPr="00EF6ED7" w:rsidRDefault="00836E1F" w:rsidP="00976953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Postul de Conferenţiar</w:t>
            </w:r>
            <w:r w:rsidR="00DE2B75">
              <w:rPr>
                <w:rFonts w:ascii="Times New Roman" w:hAnsi="Times New Roman"/>
              </w:rPr>
              <w:t xml:space="preserve"> va fi salarizat </w:t>
            </w:r>
            <w:r w:rsidR="00B3714D">
              <w:rPr>
                <w:rFonts w:ascii="Times New Roman" w:hAnsi="Times New Roman"/>
              </w:rPr>
              <w:t>cf. Legea 153/</w:t>
            </w:r>
            <w:r w:rsidR="003648D6" w:rsidRPr="00EF6ED7">
              <w:rPr>
                <w:rFonts w:ascii="Times New Roman" w:hAnsi="Times New Roman"/>
              </w:rPr>
              <w:t>201</w:t>
            </w:r>
            <w:r w:rsidR="00B84438">
              <w:rPr>
                <w:rFonts w:ascii="Times New Roman" w:hAnsi="Times New Roman"/>
              </w:rPr>
              <w:t>7</w:t>
            </w:r>
            <w:r w:rsidR="003648D6" w:rsidRPr="00EF6ED7">
              <w:rPr>
                <w:rFonts w:ascii="Times New Roman" w:hAnsi="Times New Roman"/>
              </w:rPr>
              <w:t xml:space="preserve">, </w:t>
            </w:r>
            <w:r w:rsidR="00DE2B75">
              <w:rPr>
                <w:rFonts w:ascii="Times New Roman" w:hAnsi="Times New Roman"/>
              </w:rPr>
              <w:t xml:space="preserve">cu </w:t>
            </w:r>
            <w:r w:rsidR="003648D6" w:rsidRPr="00244CDD">
              <w:rPr>
                <w:rFonts w:ascii="Times New Roman" w:hAnsi="Times New Roman"/>
              </w:rPr>
              <w:t xml:space="preserve">suma de </w:t>
            </w:r>
            <w:r w:rsidR="00B3714D">
              <w:rPr>
                <w:rFonts w:ascii="Times New Roman" w:hAnsi="Times New Roman"/>
              </w:rPr>
              <w:t xml:space="preserve"> 4793</w:t>
            </w:r>
            <w:r w:rsidR="003648D6" w:rsidRPr="00244CDD">
              <w:rPr>
                <w:rFonts w:ascii="Times New Roman" w:hAnsi="Times New Roman"/>
              </w:rPr>
              <w:t>lei.</w:t>
            </w:r>
          </w:p>
        </w:tc>
      </w:tr>
    </w:tbl>
    <w:p w:rsidR="003648D6" w:rsidRPr="00EF6ED7" w:rsidRDefault="003648D6" w:rsidP="00CF5FDA">
      <w:pPr>
        <w:pStyle w:val="NoSpacing"/>
        <w:jc w:val="both"/>
        <w:rPr>
          <w:rFonts w:ascii="Times New Roman" w:hAnsi="Times New Roman"/>
          <w:b/>
        </w:rPr>
      </w:pPr>
    </w:p>
    <w:sectPr w:rsidR="003648D6" w:rsidRPr="00EF6ED7" w:rsidSect="002E0F71">
      <w:pgSz w:w="11906" w:h="16838"/>
      <w:pgMar w:top="63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0B6"/>
    <w:multiLevelType w:val="hybridMultilevel"/>
    <w:tmpl w:val="F1783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96269"/>
    <w:multiLevelType w:val="hybridMultilevel"/>
    <w:tmpl w:val="8DD6B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64B83F59"/>
    <w:multiLevelType w:val="hybridMultilevel"/>
    <w:tmpl w:val="24F6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6007"/>
    <w:rsid w:val="00024634"/>
    <w:rsid w:val="00043B66"/>
    <w:rsid w:val="000561BC"/>
    <w:rsid w:val="0005698E"/>
    <w:rsid w:val="0006159F"/>
    <w:rsid w:val="000739EE"/>
    <w:rsid w:val="000927B4"/>
    <w:rsid w:val="000C1970"/>
    <w:rsid w:val="000F065D"/>
    <w:rsid w:val="0010733B"/>
    <w:rsid w:val="001621DA"/>
    <w:rsid w:val="001763A3"/>
    <w:rsid w:val="00194F46"/>
    <w:rsid w:val="001A25CE"/>
    <w:rsid w:val="001B6316"/>
    <w:rsid w:val="001C0F6F"/>
    <w:rsid w:val="001C33DB"/>
    <w:rsid w:val="001F7E1B"/>
    <w:rsid w:val="00217644"/>
    <w:rsid w:val="0022142F"/>
    <w:rsid w:val="002312E9"/>
    <w:rsid w:val="00244CDD"/>
    <w:rsid w:val="002510B9"/>
    <w:rsid w:val="00270ABC"/>
    <w:rsid w:val="00285B63"/>
    <w:rsid w:val="002A2F7D"/>
    <w:rsid w:val="002D56C1"/>
    <w:rsid w:val="002E0F71"/>
    <w:rsid w:val="00305179"/>
    <w:rsid w:val="00307A6F"/>
    <w:rsid w:val="0035569E"/>
    <w:rsid w:val="003648D6"/>
    <w:rsid w:val="003B6F7A"/>
    <w:rsid w:val="003D0837"/>
    <w:rsid w:val="00400C2A"/>
    <w:rsid w:val="00412D1D"/>
    <w:rsid w:val="00461C35"/>
    <w:rsid w:val="00490A8F"/>
    <w:rsid w:val="004F64CB"/>
    <w:rsid w:val="00532D6B"/>
    <w:rsid w:val="005519B2"/>
    <w:rsid w:val="00556DF5"/>
    <w:rsid w:val="0056125D"/>
    <w:rsid w:val="00571AD6"/>
    <w:rsid w:val="005B4475"/>
    <w:rsid w:val="005C6ECA"/>
    <w:rsid w:val="00640168"/>
    <w:rsid w:val="00671299"/>
    <w:rsid w:val="006905D0"/>
    <w:rsid w:val="00693FBD"/>
    <w:rsid w:val="006A09AF"/>
    <w:rsid w:val="007050CA"/>
    <w:rsid w:val="00725767"/>
    <w:rsid w:val="007743A7"/>
    <w:rsid w:val="00785E53"/>
    <w:rsid w:val="007B0172"/>
    <w:rsid w:val="007B1444"/>
    <w:rsid w:val="007B1D8A"/>
    <w:rsid w:val="007C3266"/>
    <w:rsid w:val="007D49D0"/>
    <w:rsid w:val="007E559C"/>
    <w:rsid w:val="007F038E"/>
    <w:rsid w:val="008139D8"/>
    <w:rsid w:val="00836E1F"/>
    <w:rsid w:val="00846722"/>
    <w:rsid w:val="008646D6"/>
    <w:rsid w:val="00866A94"/>
    <w:rsid w:val="008B2382"/>
    <w:rsid w:val="008D66B5"/>
    <w:rsid w:val="008E4036"/>
    <w:rsid w:val="00912274"/>
    <w:rsid w:val="00976953"/>
    <w:rsid w:val="009D0BAD"/>
    <w:rsid w:val="009E6BB5"/>
    <w:rsid w:val="009F0024"/>
    <w:rsid w:val="00A57C66"/>
    <w:rsid w:val="00A634B8"/>
    <w:rsid w:val="00A9719B"/>
    <w:rsid w:val="00AC129B"/>
    <w:rsid w:val="00B044E1"/>
    <w:rsid w:val="00B06DB5"/>
    <w:rsid w:val="00B3714D"/>
    <w:rsid w:val="00B6266B"/>
    <w:rsid w:val="00B8022B"/>
    <w:rsid w:val="00B84438"/>
    <w:rsid w:val="00BA540B"/>
    <w:rsid w:val="00BD6D81"/>
    <w:rsid w:val="00BF2693"/>
    <w:rsid w:val="00BF29DC"/>
    <w:rsid w:val="00C363C8"/>
    <w:rsid w:val="00C63B6C"/>
    <w:rsid w:val="00C6687F"/>
    <w:rsid w:val="00C70A84"/>
    <w:rsid w:val="00C77844"/>
    <w:rsid w:val="00CF5FDA"/>
    <w:rsid w:val="00D02176"/>
    <w:rsid w:val="00D97E6E"/>
    <w:rsid w:val="00DB0C20"/>
    <w:rsid w:val="00DD660C"/>
    <w:rsid w:val="00DE2B75"/>
    <w:rsid w:val="00DF3154"/>
    <w:rsid w:val="00E81078"/>
    <w:rsid w:val="00EA0316"/>
    <w:rsid w:val="00EF578A"/>
    <w:rsid w:val="00EF6ED7"/>
    <w:rsid w:val="00F46007"/>
    <w:rsid w:val="00F46262"/>
    <w:rsid w:val="00F525E4"/>
    <w:rsid w:val="00F57D56"/>
    <w:rsid w:val="00F677CC"/>
    <w:rsid w:val="00F809D7"/>
    <w:rsid w:val="00F83B3D"/>
    <w:rsid w:val="00F96B83"/>
    <w:rsid w:val="00FB15EE"/>
    <w:rsid w:val="00FE1A4B"/>
    <w:rsid w:val="00FE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99"/>
    <w:qFormat/>
    <w:rsid w:val="006905D0"/>
    <w:rPr>
      <w:lang w:eastAsia="en-US"/>
    </w:rPr>
  </w:style>
  <w:style w:type="table" w:styleId="TableGrid">
    <w:name w:val="Table Grid"/>
    <w:basedOn w:val="TableNormal"/>
    <w:uiPriority w:val="99"/>
    <w:rsid w:val="00532D6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21DA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locked/>
    <w:rsid w:val="0010733B"/>
    <w:pPr>
      <w:tabs>
        <w:tab w:val="left" w:pos="1701"/>
        <w:tab w:val="right" w:leader="dot" w:pos="7360"/>
      </w:tabs>
      <w:spacing w:after="0" w:line="260" w:lineRule="atLeast"/>
      <w:ind w:left="1418" w:hanging="567"/>
      <w:contextualSpacing/>
      <w:jc w:val="both"/>
    </w:pPr>
    <w:rPr>
      <w:rFonts w:ascii="Times New Roman" w:eastAsiaTheme="minorEastAsia" w:hAnsi="Times New Roman" w:cstheme="minorBidi"/>
      <w:b/>
      <w:i/>
      <w:noProof/>
      <w:sz w:val="24"/>
      <w:lang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7A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7A6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99"/>
    <w:qFormat/>
    <w:rsid w:val="006905D0"/>
    <w:rPr>
      <w:lang w:eastAsia="en-US"/>
    </w:rPr>
  </w:style>
  <w:style w:type="table" w:styleId="TableGrid">
    <w:name w:val="Table Grid"/>
    <w:basedOn w:val="TableNormal"/>
    <w:uiPriority w:val="99"/>
    <w:rsid w:val="00532D6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621DA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locked/>
    <w:rsid w:val="0010733B"/>
    <w:pPr>
      <w:tabs>
        <w:tab w:val="left" w:pos="1701"/>
        <w:tab w:val="right" w:leader="dot" w:pos="7360"/>
      </w:tabs>
      <w:spacing w:after="0" w:line="260" w:lineRule="atLeast"/>
      <w:ind w:left="1418" w:hanging="567"/>
      <w:contextualSpacing/>
      <w:jc w:val="both"/>
    </w:pPr>
    <w:rPr>
      <w:rFonts w:ascii="Times New Roman" w:eastAsiaTheme="minorEastAsia" w:hAnsi="Times New Roman" w:cstheme="minorBidi"/>
      <w:b/>
      <w:i/>
      <w:noProof/>
      <w:sz w:val="24"/>
      <w:lang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7A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7A6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Dan</cp:lastModifiedBy>
  <cp:revision>3</cp:revision>
  <cp:lastPrinted>2017-05-12T05:43:00Z</cp:lastPrinted>
  <dcterms:created xsi:type="dcterms:W3CDTF">2018-05-09T09:48:00Z</dcterms:created>
  <dcterms:modified xsi:type="dcterms:W3CDTF">2018-05-09T09:59:00Z</dcterms:modified>
</cp:coreProperties>
</file>