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C589" w14:textId="77777777" w:rsidR="00665FD3" w:rsidRPr="001F3F94" w:rsidRDefault="00665FD3" w:rsidP="00665FD3">
      <w:pPr>
        <w:pStyle w:val="Frspaiere"/>
        <w:rPr>
          <w:rFonts w:ascii="Times New Roman" w:hAnsi="Times New Roman"/>
          <w:b/>
          <w:lang w:val="en-US"/>
        </w:rPr>
      </w:pPr>
      <w:r w:rsidRPr="001F3F94">
        <w:rPr>
          <w:rFonts w:ascii="Times New Roman" w:hAnsi="Times New Roman"/>
          <w:b/>
          <w:lang w:val="en-US"/>
        </w:rPr>
        <w:t>„ION IONESCU DE LA BRAD” UNIVERSITY OF LIFE SCIENCES, IASI</w:t>
      </w:r>
    </w:p>
    <w:p w14:paraId="3CF9F71B" w14:textId="77777777" w:rsidR="00665FD3" w:rsidRDefault="00665FD3" w:rsidP="00665FD3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ACADEMIC YEAR 2023/2024</w:t>
      </w:r>
    </w:p>
    <w:p w14:paraId="5C899495" w14:textId="77777777" w:rsidR="00665FD3" w:rsidRPr="001F3F94" w:rsidRDefault="00665FD3" w:rsidP="00665FD3">
      <w:pPr>
        <w:pStyle w:val="Frspaiere"/>
        <w:rPr>
          <w:rFonts w:ascii="Times New Roman" w:hAnsi="Times New Roman"/>
          <w:b/>
          <w:lang w:val="en-US"/>
        </w:rPr>
      </w:pPr>
      <w:proofErr w:type="spellStart"/>
      <w:r w:rsidRPr="001F3F94">
        <w:rPr>
          <w:rFonts w:ascii="Times New Roman" w:hAnsi="Times New Roman"/>
          <w:b/>
          <w:lang w:val="en-US"/>
        </w:rPr>
        <w:t>I</w:t>
      </w:r>
      <w:r w:rsidRPr="001F3F94">
        <w:rPr>
          <w:rFonts w:ascii="Times New Roman" w:hAnsi="Times New Roman"/>
          <w:b/>
          <w:vertAlign w:val="superscript"/>
          <w:lang w:val="en-US"/>
        </w:rPr>
        <w:t>st</w:t>
      </w:r>
      <w:proofErr w:type="spellEnd"/>
      <w:r w:rsidRPr="001F3F94">
        <w:rPr>
          <w:rFonts w:ascii="Times New Roman" w:hAnsi="Times New Roman"/>
          <w:b/>
          <w:lang w:val="en-US"/>
        </w:rPr>
        <w:t xml:space="preserve"> SEMESTER</w:t>
      </w:r>
    </w:p>
    <w:p w14:paraId="251606CD" w14:textId="77777777" w:rsidR="00665FD3" w:rsidRPr="0089266E" w:rsidRDefault="00665FD3" w:rsidP="00665FD3">
      <w:pPr>
        <w:pStyle w:val="Frspaiere"/>
        <w:rPr>
          <w:rFonts w:ascii="Times New Roman" w:hAnsi="Times New Roman"/>
          <w:b/>
          <w:lang w:val="en-US"/>
        </w:rPr>
      </w:pPr>
      <w:r w:rsidRPr="0089266E">
        <w:rPr>
          <w:rFonts w:ascii="Times New Roman" w:hAnsi="Times New Roman"/>
          <w:b/>
          <w:lang w:val="en-US"/>
        </w:rPr>
        <w:t>Promotion exam in the teaching career</w:t>
      </w:r>
    </w:p>
    <w:p w14:paraId="590FA4D0" w14:textId="48329E32" w:rsidR="00665FD3" w:rsidRDefault="00665FD3" w:rsidP="00665FD3">
      <w:pPr>
        <w:pStyle w:val="Frspaiere"/>
        <w:rPr>
          <w:rFonts w:ascii="Times New Roman" w:hAnsi="Times New Roman"/>
          <w:b/>
          <w:lang w:val="en-US"/>
        </w:rPr>
      </w:pPr>
    </w:p>
    <w:p w14:paraId="58EBCDD0" w14:textId="77777777" w:rsidR="00665FD3" w:rsidRDefault="00665FD3" w:rsidP="00665FD3">
      <w:pPr>
        <w:pStyle w:val="Frspaiere"/>
        <w:rPr>
          <w:rFonts w:ascii="Times New Roman" w:hAnsi="Times New Roman"/>
          <w:b/>
          <w:lang w:val="en-US"/>
        </w:rPr>
      </w:pPr>
    </w:p>
    <w:p w14:paraId="6E1D8973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7"/>
        <w:gridCol w:w="7005"/>
        <w:gridCol w:w="62"/>
      </w:tblGrid>
      <w:tr w:rsidR="00742E51" w:rsidRPr="00BF4BCE" w14:paraId="6D060657" w14:textId="77777777" w:rsidTr="00B21D9B">
        <w:tc>
          <w:tcPr>
            <w:tcW w:w="9344" w:type="dxa"/>
            <w:gridSpan w:val="2"/>
          </w:tcPr>
          <w:p w14:paraId="7E2F05FF" w14:textId="4F48825F" w:rsidR="00742E51" w:rsidRPr="00BF4BCE" w:rsidRDefault="005E227F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 w:rsidRPr="005E227F">
              <w:rPr>
                <w:rFonts w:ascii="Times New Roman" w:hAnsi="Times New Roman"/>
                <w:b/>
              </w:rPr>
              <w:t>JOB DESCRIPTION:</w:t>
            </w:r>
          </w:p>
        </w:tc>
        <w:tc>
          <w:tcPr>
            <w:tcW w:w="0" w:type="auto"/>
          </w:tcPr>
          <w:p w14:paraId="515A987D" w14:textId="49A93EDB" w:rsidR="005E227F" w:rsidRPr="005E227F" w:rsidRDefault="005E227F" w:rsidP="005E22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-US"/>
              </w:rPr>
            </w:pPr>
          </w:p>
        </w:tc>
      </w:tr>
      <w:tr w:rsidR="00742E51" w:rsidRPr="00BF4BCE" w14:paraId="63F36081" w14:textId="77777777" w:rsidTr="00B21D9B">
        <w:trPr>
          <w:gridAfter w:val="1"/>
        </w:trPr>
        <w:tc>
          <w:tcPr>
            <w:tcW w:w="2287" w:type="dxa"/>
          </w:tcPr>
          <w:p w14:paraId="1B2E1771" w14:textId="536AB36A" w:rsidR="00742E51" w:rsidRPr="00BF4BCE" w:rsidRDefault="006147AA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6147AA">
              <w:rPr>
                <w:rFonts w:ascii="Times New Roman" w:hAnsi="Times New Roman"/>
                <w:b/>
              </w:rPr>
              <w:t>The post</w:t>
            </w:r>
          </w:p>
        </w:tc>
        <w:tc>
          <w:tcPr>
            <w:tcW w:w="7057" w:type="dxa"/>
          </w:tcPr>
          <w:p w14:paraId="524609D0" w14:textId="4DCD9766" w:rsidR="00742E51" w:rsidRPr="00BF4BCE" w:rsidRDefault="005E227F" w:rsidP="001A1FE4">
            <w:pPr>
              <w:pStyle w:val="Frspaiere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Associate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Professor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E227F">
              <w:rPr>
                <w:rFonts w:ascii="Times New Roman" w:hAnsi="Times New Roman"/>
                <w:b/>
                <w:bCs/>
              </w:rPr>
              <w:t>for an indefinite period</w:t>
            </w:r>
          </w:p>
        </w:tc>
      </w:tr>
      <w:tr w:rsidR="00742E51" w:rsidRPr="00BF4BCE" w14:paraId="4FE3936D" w14:textId="77777777" w:rsidTr="00B21D9B">
        <w:trPr>
          <w:gridAfter w:val="1"/>
        </w:trPr>
        <w:tc>
          <w:tcPr>
            <w:tcW w:w="2287" w:type="dxa"/>
          </w:tcPr>
          <w:p w14:paraId="0ACA1CF1" w14:textId="5AF1B4FA" w:rsidR="00742E51" w:rsidRPr="00BF4BCE" w:rsidRDefault="006147AA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6147AA">
              <w:rPr>
                <w:rFonts w:ascii="Times New Roman" w:hAnsi="Times New Roman"/>
                <w:b/>
              </w:rPr>
              <w:t xml:space="preserve">The </w:t>
            </w:r>
            <w:proofErr w:type="spellStart"/>
            <w:r w:rsidRPr="006147AA">
              <w:rPr>
                <w:rFonts w:ascii="Times New Roman" w:hAnsi="Times New Roman"/>
                <w:b/>
              </w:rPr>
              <w:t>position</w:t>
            </w:r>
            <w:proofErr w:type="spellEnd"/>
            <w:r w:rsidRPr="006147AA">
              <w:rPr>
                <w:rFonts w:ascii="Times New Roman" w:hAnsi="Times New Roman"/>
                <w:b/>
              </w:rPr>
              <w:t xml:space="preserve"> in </w:t>
            </w:r>
            <w:proofErr w:type="spellStart"/>
            <w:r w:rsidRPr="006147AA">
              <w:rPr>
                <w:rFonts w:ascii="Times New Roman" w:hAnsi="Times New Roman"/>
                <w:b/>
              </w:rPr>
              <w:t>the</w:t>
            </w:r>
            <w:proofErr w:type="spellEnd"/>
            <w:r w:rsidRPr="006147AA">
              <w:rPr>
                <w:rFonts w:ascii="Times New Roman" w:hAnsi="Times New Roman"/>
                <w:b/>
              </w:rPr>
              <w:t xml:space="preserve"> state of </w:t>
            </w:r>
            <w:proofErr w:type="spellStart"/>
            <w:r w:rsidRPr="006147AA">
              <w:rPr>
                <w:rFonts w:ascii="Times New Roman" w:hAnsi="Times New Roman"/>
                <w:b/>
              </w:rPr>
              <w:t>functions</w:t>
            </w:r>
            <w:proofErr w:type="spellEnd"/>
          </w:p>
        </w:tc>
        <w:tc>
          <w:tcPr>
            <w:tcW w:w="7057" w:type="dxa"/>
          </w:tcPr>
          <w:p w14:paraId="06C5087F" w14:textId="17CA5C23" w:rsidR="00742E51" w:rsidRPr="00BF4BCE" w:rsidRDefault="00F01237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VI/13</w:t>
            </w:r>
          </w:p>
        </w:tc>
      </w:tr>
      <w:tr w:rsidR="00742E51" w:rsidRPr="00BF4BCE" w14:paraId="2B7569DF" w14:textId="77777777" w:rsidTr="00B21D9B">
        <w:trPr>
          <w:gridAfter w:val="1"/>
        </w:trPr>
        <w:tc>
          <w:tcPr>
            <w:tcW w:w="2287" w:type="dxa"/>
          </w:tcPr>
          <w:p w14:paraId="689BABA4" w14:textId="0E74E7D8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proofErr w:type="spellStart"/>
            <w:r w:rsidRPr="00BF4BCE">
              <w:rPr>
                <w:rFonts w:ascii="Times New Roman" w:hAnsi="Times New Roman"/>
                <w:b/>
              </w:rPr>
              <w:t>Facult</w:t>
            </w:r>
            <w:r w:rsidR="006147AA">
              <w:rPr>
                <w:rFonts w:ascii="Times New Roman" w:hAnsi="Times New Roman"/>
                <w:b/>
              </w:rPr>
              <w:t>y</w:t>
            </w:r>
            <w:proofErr w:type="spellEnd"/>
          </w:p>
        </w:tc>
        <w:tc>
          <w:tcPr>
            <w:tcW w:w="7057" w:type="dxa"/>
          </w:tcPr>
          <w:p w14:paraId="371493C3" w14:textId="24579E92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Facult</w:t>
            </w:r>
            <w:r w:rsidR="005E227F">
              <w:rPr>
                <w:rFonts w:ascii="Times New Roman" w:hAnsi="Times New Roman"/>
              </w:rPr>
              <w:t>y</w:t>
            </w:r>
            <w:proofErr w:type="spellEnd"/>
            <w:r w:rsidR="005E227F">
              <w:rPr>
                <w:rFonts w:ascii="Times New Roman" w:hAnsi="Times New Roman"/>
              </w:rPr>
              <w:t xml:space="preserve"> of </w:t>
            </w:r>
            <w:proofErr w:type="spellStart"/>
            <w:r w:rsidR="005E227F">
              <w:rPr>
                <w:rFonts w:ascii="Times New Roman" w:hAnsi="Times New Roman"/>
              </w:rPr>
              <w:t>Horticulture</w:t>
            </w:r>
            <w:proofErr w:type="spellEnd"/>
          </w:p>
        </w:tc>
      </w:tr>
      <w:tr w:rsidR="00742E51" w:rsidRPr="00BF4BCE" w14:paraId="310C7137" w14:textId="77777777" w:rsidTr="00B21D9B">
        <w:trPr>
          <w:gridAfter w:val="1"/>
        </w:trPr>
        <w:tc>
          <w:tcPr>
            <w:tcW w:w="2287" w:type="dxa"/>
          </w:tcPr>
          <w:p w14:paraId="526B552B" w14:textId="7BFD24DC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</w:t>
            </w:r>
            <w:r w:rsidR="006147AA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7057" w:type="dxa"/>
          </w:tcPr>
          <w:p w14:paraId="7AAF458F" w14:textId="35A608A1" w:rsidR="00742E51" w:rsidRPr="00BF4BCE" w:rsidRDefault="005E227F" w:rsidP="001A1FE4">
            <w:pPr>
              <w:pStyle w:val="Frspaier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Horticultural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technologies</w:t>
            </w:r>
            <w:proofErr w:type="spellEnd"/>
          </w:p>
        </w:tc>
      </w:tr>
      <w:tr w:rsidR="00742E51" w:rsidRPr="00BF4BCE" w14:paraId="0580A41C" w14:textId="77777777" w:rsidTr="00B21D9B">
        <w:trPr>
          <w:gridAfter w:val="1"/>
        </w:trPr>
        <w:tc>
          <w:tcPr>
            <w:tcW w:w="2287" w:type="dxa"/>
          </w:tcPr>
          <w:p w14:paraId="456024F8" w14:textId="6B3DD3A7" w:rsidR="00742E51" w:rsidRPr="00BF4BCE" w:rsidRDefault="006147AA" w:rsidP="001A1FE4">
            <w:pPr>
              <w:pStyle w:val="Frspaiere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6147AA">
              <w:rPr>
                <w:rFonts w:ascii="Times New Roman" w:hAnsi="Times New Roman"/>
                <w:b/>
              </w:rPr>
              <w:t>ubjects</w:t>
            </w:r>
            <w:proofErr w:type="spellEnd"/>
            <w:r w:rsidRPr="006147AA">
              <w:rPr>
                <w:rFonts w:ascii="Times New Roman" w:hAnsi="Times New Roman"/>
                <w:b/>
              </w:rPr>
              <w:t xml:space="preserve"> in </w:t>
            </w:r>
            <w:proofErr w:type="spellStart"/>
            <w:r w:rsidRPr="006147AA">
              <w:rPr>
                <w:rFonts w:ascii="Times New Roman" w:hAnsi="Times New Roman"/>
                <w:b/>
              </w:rPr>
              <w:t>the</w:t>
            </w:r>
            <w:proofErr w:type="spellEnd"/>
            <w:r w:rsidRPr="006147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  <w:b/>
              </w:rPr>
              <w:t>education</w:t>
            </w:r>
            <w:proofErr w:type="spellEnd"/>
            <w:r w:rsidRPr="006147AA">
              <w:rPr>
                <w:rFonts w:ascii="Times New Roman" w:hAnsi="Times New Roman"/>
                <w:b/>
              </w:rPr>
              <w:t xml:space="preserve"> plan</w:t>
            </w:r>
          </w:p>
        </w:tc>
        <w:tc>
          <w:tcPr>
            <w:tcW w:w="7057" w:type="dxa"/>
          </w:tcPr>
          <w:p w14:paraId="24495033" w14:textId="5871FF4B" w:rsidR="00DA4192" w:rsidRPr="00DA4192" w:rsidRDefault="00DA4192" w:rsidP="00DA419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>MANAGEMENT SYSTEM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>ECOLOGICAL VINEYARDS</w:t>
            </w:r>
          </w:p>
          <w:p w14:paraId="2B9667A1" w14:textId="6E445A28" w:rsidR="00DA4192" w:rsidRPr="00DA4192" w:rsidRDefault="00DA4192" w:rsidP="00DA419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>TECHNOLOGY OF FOOD PRODUCTS OF VEGET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>L ORIGIN I (BEVERAGES)</w:t>
            </w:r>
          </w:p>
          <w:p w14:paraId="441260AF" w14:textId="77777777" w:rsidR="00DA4192" w:rsidRPr="00DA4192" w:rsidRDefault="00DA4192" w:rsidP="00DA419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>HORTICULTURAL TECHNOLOGIES (VITICULTURE)</w:t>
            </w:r>
          </w:p>
          <w:p w14:paraId="38BB538A" w14:textId="1013E135" w:rsidR="0006298C" w:rsidRPr="00186317" w:rsidRDefault="00DA4192" w:rsidP="00DA419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>OENOLOGY</w:t>
            </w:r>
          </w:p>
        </w:tc>
      </w:tr>
      <w:tr w:rsidR="005F72C9" w:rsidRPr="005F72C9" w14:paraId="7F64C10F" w14:textId="77777777" w:rsidTr="00B21D9B">
        <w:trPr>
          <w:gridAfter w:val="1"/>
        </w:trPr>
        <w:tc>
          <w:tcPr>
            <w:tcW w:w="2287" w:type="dxa"/>
          </w:tcPr>
          <w:p w14:paraId="33248AE2" w14:textId="42B18857" w:rsidR="00742E51" w:rsidRPr="005F72C9" w:rsidRDefault="006147AA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Scientific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domain</w:t>
            </w:r>
            <w:proofErr w:type="spellEnd"/>
          </w:p>
        </w:tc>
        <w:tc>
          <w:tcPr>
            <w:tcW w:w="7057" w:type="dxa"/>
          </w:tcPr>
          <w:p w14:paraId="1BF0C93C" w14:textId="70BDC69D" w:rsidR="00742E51" w:rsidRPr="005F72C9" w:rsidRDefault="008B69E8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Horticultur</w:t>
            </w:r>
            <w:r w:rsidR="00DA4192">
              <w:rPr>
                <w:rFonts w:ascii="Times New Roman" w:hAnsi="Times New Roman"/>
                <w:color w:val="000000" w:themeColor="text1"/>
              </w:rPr>
              <w:t>e</w:t>
            </w:r>
            <w:proofErr w:type="spellEnd"/>
          </w:p>
        </w:tc>
      </w:tr>
      <w:tr w:rsidR="00742E51" w:rsidRPr="00BF4BCE" w14:paraId="2D265EBE" w14:textId="77777777" w:rsidTr="00B21D9B">
        <w:trPr>
          <w:gridAfter w:val="1"/>
        </w:trPr>
        <w:tc>
          <w:tcPr>
            <w:tcW w:w="2287" w:type="dxa"/>
          </w:tcPr>
          <w:p w14:paraId="574F5A7A" w14:textId="35476C11" w:rsidR="00742E51" w:rsidRPr="00BF4BCE" w:rsidRDefault="006147AA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Post </w:t>
            </w:r>
            <w:proofErr w:type="spellStart"/>
            <w:r>
              <w:rPr>
                <w:rFonts w:ascii="Times New Roman" w:hAnsi="Times New Roman"/>
                <w:b/>
              </w:rPr>
              <w:t>description</w:t>
            </w:r>
            <w:proofErr w:type="spellEnd"/>
          </w:p>
        </w:tc>
        <w:tc>
          <w:tcPr>
            <w:tcW w:w="7057" w:type="dxa"/>
          </w:tcPr>
          <w:p w14:paraId="599EFF81" w14:textId="34F99191" w:rsidR="00DA4192" w:rsidRDefault="00DA4192" w:rsidP="00E87CA0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DA4192">
              <w:rPr>
                <w:rFonts w:ascii="Times New Roman" w:hAnsi="Times New Roman"/>
                <w:lang w:val="ro-RO"/>
              </w:rPr>
              <w:t xml:space="preserve">The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position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of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university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lecturer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, for an indefinite period, vacant,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position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VI/13, </w:t>
            </w:r>
            <w:r>
              <w:rPr>
                <w:rFonts w:ascii="Times New Roman" w:hAnsi="Times New Roman"/>
                <w:lang w:val="ro-RO"/>
              </w:rPr>
              <w:t xml:space="preserve">as </w:t>
            </w:r>
            <w:proofErr w:type="spellStart"/>
            <w:r>
              <w:rPr>
                <w:rFonts w:ascii="Times New Roman" w:hAnsi="Times New Roman"/>
                <w:lang w:val="ro-RO"/>
              </w:rPr>
              <w:t>can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o-RO"/>
              </w:rPr>
              <w:t>be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o-RO"/>
              </w:rPr>
              <w:t>seen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in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the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State of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functions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and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teaching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staff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approved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for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the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academic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year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2023-2024,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contains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a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norm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of </w:t>
            </w:r>
            <w:r w:rsidRPr="00DA4192">
              <w:rPr>
                <w:rFonts w:ascii="Times New Roman" w:hAnsi="Times New Roman"/>
                <w:b/>
                <w:bCs/>
                <w:lang w:val="ro-RO"/>
              </w:rPr>
              <w:t xml:space="preserve">10 </w:t>
            </w:r>
            <w:proofErr w:type="spellStart"/>
            <w:r w:rsidRPr="00DA4192">
              <w:rPr>
                <w:rFonts w:ascii="Times New Roman" w:hAnsi="Times New Roman"/>
                <w:b/>
                <w:bCs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bCs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ensured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by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bCs/>
                <w:lang w:val="ro-RO"/>
              </w:rPr>
              <w:t>lectures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(</w:t>
            </w:r>
            <w:r w:rsidRPr="00DA4192">
              <w:rPr>
                <w:rFonts w:ascii="Times New Roman" w:hAnsi="Times New Roman"/>
                <w:b/>
                <w:bCs/>
                <w:lang w:val="ro-RO"/>
              </w:rPr>
              <w:t xml:space="preserve">7 </w:t>
            </w:r>
            <w:proofErr w:type="spellStart"/>
            <w:r w:rsidRPr="00DA4192">
              <w:rPr>
                <w:rFonts w:ascii="Times New Roman" w:hAnsi="Times New Roman"/>
                <w:b/>
                <w:bCs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)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and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bCs/>
                <w:lang w:val="ro-RO"/>
              </w:rPr>
              <w:t>practical</w:t>
            </w:r>
            <w:proofErr w:type="spellEnd"/>
            <w:r w:rsidRPr="00DA4192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bCs/>
                <w:lang w:val="ro-RO"/>
              </w:rPr>
              <w:t>works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(</w:t>
            </w:r>
            <w:r w:rsidRPr="00DA4192">
              <w:rPr>
                <w:rFonts w:ascii="Times New Roman" w:hAnsi="Times New Roman"/>
                <w:b/>
                <w:bCs/>
                <w:lang w:val="ro-RO"/>
              </w:rPr>
              <w:t xml:space="preserve">3 </w:t>
            </w:r>
            <w:proofErr w:type="spellStart"/>
            <w:r w:rsidRPr="00DA4192">
              <w:rPr>
                <w:rFonts w:ascii="Times New Roman" w:hAnsi="Times New Roman"/>
                <w:b/>
                <w:bCs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),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with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the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following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semester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distribution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lang w:val="ro-RO"/>
              </w:rPr>
              <w:t>by</w:t>
            </w:r>
            <w:proofErr w:type="spellEnd"/>
            <w:r w:rsidRPr="00DA4192">
              <w:rPr>
                <w:rFonts w:ascii="Times New Roman" w:hAnsi="Times New Roman"/>
                <w:lang w:val="ro-RO"/>
              </w:rPr>
              <w:t xml:space="preserve"> discipline:</w:t>
            </w:r>
          </w:p>
          <w:p w14:paraId="073761E3" w14:textId="04DDCB96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Management of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viticultural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ecological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systems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with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specific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objectives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,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Bachelor</w:t>
            </w:r>
            <w:proofErr w:type="spellEnd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cycle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:</w:t>
            </w:r>
          </w:p>
          <w:p w14:paraId="72B2EA86" w14:textId="79D21768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-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third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year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Faculty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of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Horticulture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specialization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Environmental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Engineering, in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the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second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semester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lecture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3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physical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= 6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week</w:t>
            </w:r>
            <w:proofErr w:type="spellEnd"/>
          </w:p>
          <w:p w14:paraId="54DC0533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average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3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year</w:t>
            </w:r>
            <w:proofErr w:type="spellEnd"/>
          </w:p>
          <w:p w14:paraId="17C04C5F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</w:p>
          <w:p w14:paraId="473E9FFE" w14:textId="3814BBF6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Technology of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plant-based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food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products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I (Beverages),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with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specific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objectives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,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Bachelor</w:t>
            </w:r>
            <w:proofErr w:type="spellEnd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cycle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:</w:t>
            </w:r>
          </w:p>
          <w:p w14:paraId="488CB80D" w14:textId="681FFF01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-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third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year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Faculty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of Engineering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Animal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and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Food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Resources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CEPA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specialization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first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semester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lecture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2.0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physical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= 4.0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week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.</w:t>
            </w:r>
          </w:p>
          <w:p w14:paraId="597DB053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average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2.0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year</w:t>
            </w:r>
            <w:proofErr w:type="spellEnd"/>
          </w:p>
          <w:p w14:paraId="45E245AE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</w:p>
          <w:p w14:paraId="149802C6" w14:textId="68FF5A2E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Horticultural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technologies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(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Viticulture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),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with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specific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objectives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,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Bachelor</w:t>
            </w:r>
            <w:proofErr w:type="spellEnd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cycle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:</w:t>
            </w:r>
          </w:p>
          <w:p w14:paraId="26AF2240" w14:textId="295BDACA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-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third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year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Faculty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of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Agriculture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specialization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Agriculture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semester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I: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lecture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2.0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physical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= 4.0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week</w:t>
            </w:r>
            <w:proofErr w:type="spellEnd"/>
          </w:p>
          <w:p w14:paraId="27C1AD32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average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2.0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year</w:t>
            </w:r>
            <w:proofErr w:type="spellEnd"/>
          </w:p>
          <w:p w14:paraId="4C1E16A1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</w:p>
          <w:p w14:paraId="3956F28F" w14:textId="1271F471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Oenology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with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specific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objectives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,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Bachelor</w:t>
            </w:r>
            <w:proofErr w:type="spellEnd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="006147AA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cycle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:</w:t>
            </w:r>
          </w:p>
          <w:p w14:paraId="57A42A25" w14:textId="6A8E0981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-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third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year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Faculty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of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Horticulture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Horticulture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specialization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second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semester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practical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work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1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work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formation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x 2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= 2.0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physical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</w:p>
          <w:p w14:paraId="4FF1B13F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</w:pP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average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1.0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year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;</w:t>
            </w:r>
          </w:p>
          <w:p w14:paraId="062995A2" w14:textId="77777777" w:rsidR="00DA4192" w:rsidRPr="00DA4192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- IV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year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Faculty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of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Horticulture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Horticulture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specialization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first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semester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practical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work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, 2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work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formations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x 2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= 4.0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physical</w:t>
            </w:r>
            <w:proofErr w:type="spellEnd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Cs/>
                <w:color w:val="000000"/>
                <w:lang w:val="ro-RO"/>
              </w:rPr>
              <w:t>hours</w:t>
            </w:r>
            <w:proofErr w:type="spellEnd"/>
          </w:p>
          <w:p w14:paraId="39A940C3" w14:textId="045E0FDE" w:rsidR="004F10C1" w:rsidRPr="00010EF9" w:rsidRDefault="00DA4192" w:rsidP="00DA419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NewRoman" w:hAnsi="TimesNewRoman" w:cs="TimesNewRoman"/>
                <w:b/>
                <w:szCs w:val="24"/>
              </w:rPr>
            </w:pPr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average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2.0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conventional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hours</w:t>
            </w:r>
            <w:proofErr w:type="spellEnd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/</w:t>
            </w:r>
            <w:proofErr w:type="spellStart"/>
            <w:r w:rsidRPr="00DA4192">
              <w:rPr>
                <w:rFonts w:ascii="Times New Roman" w:hAnsi="Times New Roman"/>
                <w:b/>
                <w:i/>
                <w:iCs/>
                <w:color w:val="000000"/>
                <w:lang w:val="ro-RO"/>
              </w:rPr>
              <w:t>year</w:t>
            </w:r>
            <w:proofErr w:type="spellEnd"/>
          </w:p>
        </w:tc>
      </w:tr>
      <w:tr w:rsidR="00742E51" w:rsidRPr="00BF4BCE" w14:paraId="18FCE969" w14:textId="77777777" w:rsidTr="00B21D9B">
        <w:trPr>
          <w:gridAfter w:val="1"/>
        </w:trPr>
        <w:tc>
          <w:tcPr>
            <w:tcW w:w="2287" w:type="dxa"/>
          </w:tcPr>
          <w:p w14:paraId="340D7A10" w14:textId="21CDDC1B" w:rsidR="00742E51" w:rsidRPr="00BF4BCE" w:rsidRDefault="006147AA" w:rsidP="001A1FE4">
            <w:pPr>
              <w:pStyle w:val="Frspaiere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Activities</w:t>
            </w:r>
            <w:proofErr w:type="spellEnd"/>
            <w:r>
              <w:rPr>
                <w:rFonts w:ascii="Times New Roman" w:hAnsi="Times New Roman"/>
                <w:b/>
              </w:rPr>
              <w:t xml:space="preserve"> specific for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post</w:t>
            </w:r>
          </w:p>
        </w:tc>
        <w:tc>
          <w:tcPr>
            <w:tcW w:w="7057" w:type="dxa"/>
          </w:tcPr>
          <w:p w14:paraId="289AFDA4" w14:textId="27B2A08A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Lectures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and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practical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works</w:t>
            </w:r>
            <w:proofErr w:type="spellEnd"/>
            <w:r w:rsidRPr="006147AA">
              <w:rPr>
                <w:rFonts w:ascii="Times New Roman" w:hAnsi="Times New Roman"/>
              </w:rPr>
              <w:t xml:space="preserve"> for </w:t>
            </w:r>
            <w:proofErr w:type="spellStart"/>
            <w:r w:rsidRPr="006147AA">
              <w:rPr>
                <w:rFonts w:ascii="Times New Roman" w:hAnsi="Times New Roman"/>
              </w:rPr>
              <w:t>the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subjects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147AA">
              <w:rPr>
                <w:rFonts w:ascii="Times New Roman" w:hAnsi="Times New Roman"/>
              </w:rPr>
              <w:t xml:space="preserve">in </w:t>
            </w:r>
            <w:proofErr w:type="spellStart"/>
            <w:r w:rsidRPr="006147AA">
              <w:rPr>
                <w:rFonts w:ascii="Times New Roman" w:hAnsi="Times New Roman"/>
              </w:rPr>
              <w:t>the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list</w:t>
            </w:r>
            <w:proofErr w:type="spellEnd"/>
            <w:r w:rsidRPr="006147AA">
              <w:rPr>
                <w:rFonts w:ascii="Times New Roman" w:hAnsi="Times New Roman"/>
              </w:rPr>
              <w:t xml:space="preserve"> of </w:t>
            </w:r>
            <w:proofErr w:type="spellStart"/>
            <w:r w:rsidRPr="006147AA">
              <w:rPr>
                <w:rFonts w:ascii="Times New Roman" w:hAnsi="Times New Roman"/>
              </w:rPr>
              <w:t>functions</w:t>
            </w:r>
            <w:proofErr w:type="spellEnd"/>
            <w:r w:rsidRPr="006147AA">
              <w:rPr>
                <w:rFonts w:ascii="Times New Roman" w:hAnsi="Times New Roman"/>
              </w:rPr>
              <w:t xml:space="preserve">, </w:t>
            </w:r>
            <w:proofErr w:type="spellStart"/>
            <w:r w:rsidRPr="006147AA">
              <w:rPr>
                <w:rFonts w:ascii="Times New Roman" w:hAnsi="Times New Roman"/>
              </w:rPr>
              <w:t>provided</w:t>
            </w:r>
            <w:proofErr w:type="spellEnd"/>
            <w:r w:rsidRPr="006147AA">
              <w:rPr>
                <w:rFonts w:ascii="Times New Roman" w:hAnsi="Times New Roman"/>
              </w:rPr>
              <w:t xml:space="preserve"> for in </w:t>
            </w:r>
            <w:proofErr w:type="spellStart"/>
            <w:r w:rsidRPr="006147AA">
              <w:rPr>
                <w:rFonts w:ascii="Times New Roman" w:hAnsi="Times New Roman"/>
              </w:rPr>
              <w:t>position</w:t>
            </w:r>
            <w:proofErr w:type="spellEnd"/>
            <w:r w:rsidRPr="006147AA">
              <w:rPr>
                <w:rFonts w:ascii="Times New Roman" w:hAnsi="Times New Roman"/>
              </w:rPr>
              <w:t xml:space="preserve"> VI/13;</w:t>
            </w:r>
          </w:p>
          <w:p w14:paraId="73C56C5F" w14:textId="47EB0415" w:rsid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Development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preparing</w:t>
            </w:r>
            <w:proofErr w:type="spellEnd"/>
            <w:r w:rsidRPr="006147AA">
              <w:rPr>
                <w:rFonts w:ascii="Times New Roman" w:hAnsi="Times New Roman"/>
              </w:rPr>
              <w:t xml:space="preserve"> of </w:t>
            </w:r>
            <w:proofErr w:type="spellStart"/>
            <w:r w:rsidRPr="006147AA">
              <w:rPr>
                <w:rFonts w:ascii="Times New Roman" w:hAnsi="Times New Roman"/>
              </w:rPr>
              <w:t>the</w:t>
            </w:r>
            <w:proofErr w:type="spellEnd"/>
            <w:r w:rsidRPr="006147AA">
              <w:rPr>
                <w:rFonts w:ascii="Times New Roman" w:hAnsi="Times New Roman"/>
              </w:rPr>
              <w:t xml:space="preserve"> didactic </w:t>
            </w:r>
            <w:proofErr w:type="spellStart"/>
            <w:r w:rsidRPr="006147AA">
              <w:rPr>
                <w:rFonts w:ascii="Times New Roman" w:hAnsi="Times New Roman"/>
              </w:rPr>
              <w:t>activity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146BFA6E" w14:textId="4B451128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Test </w:t>
            </w:r>
            <w:proofErr w:type="spellStart"/>
            <w:r>
              <w:rPr>
                <w:rFonts w:ascii="Times New Roman" w:hAnsi="Times New Roman"/>
              </w:rPr>
              <w:t>evaluations</w:t>
            </w:r>
            <w:proofErr w:type="spellEnd"/>
          </w:p>
          <w:p w14:paraId="0D730689" w14:textId="54E40949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Consultations</w:t>
            </w:r>
            <w:proofErr w:type="spellEnd"/>
            <w:r w:rsidRPr="006147AA">
              <w:rPr>
                <w:rFonts w:ascii="Times New Roman" w:hAnsi="Times New Roman"/>
              </w:rPr>
              <w:t xml:space="preserve"> for </w:t>
            </w:r>
            <w:proofErr w:type="spellStart"/>
            <w:r w:rsidRPr="006147AA">
              <w:rPr>
                <w:rFonts w:ascii="Times New Roman" w:hAnsi="Times New Roman"/>
              </w:rPr>
              <w:t>students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provided</w:t>
            </w:r>
            <w:proofErr w:type="spellEnd"/>
            <w:r w:rsidRPr="006147AA">
              <w:rPr>
                <w:rFonts w:ascii="Times New Roman" w:hAnsi="Times New Roman"/>
              </w:rPr>
              <w:t xml:space="preserve"> for </w:t>
            </w:r>
            <w:proofErr w:type="spellStart"/>
            <w:r w:rsidRPr="006147AA">
              <w:rPr>
                <w:rFonts w:ascii="Times New Roman" w:hAnsi="Times New Roman"/>
              </w:rPr>
              <w:t>the</w:t>
            </w:r>
            <w:proofErr w:type="spellEnd"/>
            <w:r w:rsidRPr="006147AA">
              <w:rPr>
                <w:rFonts w:ascii="Times New Roman" w:hAnsi="Times New Roman"/>
              </w:rPr>
              <w:t xml:space="preserve"> regular </w:t>
            </w:r>
            <w:proofErr w:type="spellStart"/>
            <w:r w:rsidRPr="006147AA">
              <w:rPr>
                <w:rFonts w:ascii="Times New Roman" w:hAnsi="Times New Roman"/>
              </w:rPr>
              <w:t>disciplines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10CE6E92" w14:textId="39EF3370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Guiding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license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projects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5A747E60" w14:textId="0AC593E5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Elaboration</w:t>
            </w:r>
            <w:proofErr w:type="spellEnd"/>
            <w:r w:rsidRPr="006147AA">
              <w:rPr>
                <w:rFonts w:ascii="Times New Roman" w:hAnsi="Times New Roman"/>
              </w:rPr>
              <w:t xml:space="preserve"> of didactic </w:t>
            </w:r>
            <w:proofErr w:type="spellStart"/>
            <w:r w:rsidRPr="006147AA">
              <w:rPr>
                <w:rFonts w:ascii="Times New Roman" w:hAnsi="Times New Roman"/>
              </w:rPr>
              <w:t>materials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42211093" w14:textId="58C76FC9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Scientific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research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activity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0985C03B" w14:textId="761869AD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Practical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guidance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during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the</w:t>
            </w:r>
            <w:proofErr w:type="spellEnd"/>
            <w:r w:rsidRPr="006147AA">
              <w:rPr>
                <w:rFonts w:ascii="Times New Roman" w:hAnsi="Times New Roman"/>
              </w:rPr>
              <w:t xml:space="preserve"> academic </w:t>
            </w:r>
            <w:proofErr w:type="spellStart"/>
            <w:r w:rsidRPr="006147AA">
              <w:rPr>
                <w:rFonts w:ascii="Times New Roman" w:hAnsi="Times New Roman"/>
              </w:rPr>
              <w:t>year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6B2C4F54" w14:textId="1B8B01A1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Participation</w:t>
            </w:r>
            <w:proofErr w:type="spellEnd"/>
            <w:r w:rsidRPr="006147AA">
              <w:rPr>
                <w:rFonts w:ascii="Times New Roman" w:hAnsi="Times New Roman"/>
              </w:rPr>
              <w:t xml:space="preserve"> in </w:t>
            </w:r>
            <w:proofErr w:type="spellStart"/>
            <w:r w:rsidRPr="006147AA">
              <w:rPr>
                <w:rFonts w:ascii="Times New Roman" w:hAnsi="Times New Roman"/>
              </w:rPr>
              <w:t>scientific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events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1DEC36B0" w14:textId="283E962B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Promotion</w:t>
            </w:r>
            <w:r>
              <w:rPr>
                <w:rFonts w:ascii="Times New Roman" w:hAnsi="Times New Roman"/>
              </w:rPr>
              <w:t>al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activities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and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connection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with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the</w:t>
            </w:r>
            <w:proofErr w:type="spellEnd"/>
            <w:r w:rsidRPr="006147AA">
              <w:rPr>
                <w:rFonts w:ascii="Times New Roman" w:hAnsi="Times New Roman"/>
              </w:rPr>
              <w:t xml:space="preserve"> economic </w:t>
            </w:r>
            <w:proofErr w:type="spellStart"/>
            <w:r w:rsidRPr="006147AA">
              <w:rPr>
                <w:rFonts w:ascii="Times New Roman" w:hAnsi="Times New Roman"/>
              </w:rPr>
              <w:t>environment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09FACA71" w14:textId="219B1520" w:rsidR="006147AA" w:rsidRPr="006147AA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Participation</w:t>
            </w:r>
            <w:proofErr w:type="spellEnd"/>
            <w:r w:rsidRPr="006147AA">
              <w:rPr>
                <w:rFonts w:ascii="Times New Roman" w:hAnsi="Times New Roman"/>
              </w:rPr>
              <w:t xml:space="preserve"> in civic, cultural </w:t>
            </w:r>
            <w:proofErr w:type="spellStart"/>
            <w:r w:rsidRPr="006147AA">
              <w:rPr>
                <w:rFonts w:ascii="Times New Roman" w:hAnsi="Times New Roman"/>
              </w:rPr>
              <w:t>activities</w:t>
            </w:r>
            <w:proofErr w:type="spellEnd"/>
            <w:r w:rsidRPr="006147AA">
              <w:rPr>
                <w:rFonts w:ascii="Times New Roman" w:hAnsi="Times New Roman"/>
              </w:rPr>
              <w:t xml:space="preserve">, in </w:t>
            </w:r>
            <w:proofErr w:type="spellStart"/>
            <w:r w:rsidRPr="006147AA">
              <w:rPr>
                <w:rFonts w:ascii="Times New Roman" w:hAnsi="Times New Roman"/>
              </w:rPr>
              <w:t>support</w:t>
            </w:r>
            <w:proofErr w:type="spellEnd"/>
            <w:r w:rsidRPr="006147AA">
              <w:rPr>
                <w:rFonts w:ascii="Times New Roman" w:hAnsi="Times New Roman"/>
              </w:rPr>
              <w:t xml:space="preserve"> of </w:t>
            </w:r>
            <w:proofErr w:type="spellStart"/>
            <w:r w:rsidRPr="006147AA">
              <w:rPr>
                <w:rFonts w:ascii="Times New Roman" w:hAnsi="Times New Roman"/>
              </w:rPr>
              <w:t>education</w:t>
            </w:r>
            <w:proofErr w:type="spellEnd"/>
            <w:r w:rsidRPr="006147AA">
              <w:rPr>
                <w:rFonts w:ascii="Times New Roman" w:hAnsi="Times New Roman"/>
              </w:rPr>
              <w:t>;</w:t>
            </w:r>
          </w:p>
          <w:p w14:paraId="23D0B6AE" w14:textId="55862917" w:rsidR="004F10C1" w:rsidRPr="006472CC" w:rsidRDefault="006147AA" w:rsidP="006147A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Other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activities</w:t>
            </w:r>
            <w:proofErr w:type="spellEnd"/>
            <w:r w:rsidRPr="006147AA">
              <w:rPr>
                <w:rFonts w:ascii="Times New Roman" w:hAnsi="Times New Roman"/>
              </w:rPr>
              <w:t xml:space="preserve"> for </w:t>
            </w:r>
            <w:proofErr w:type="spellStart"/>
            <w:r w:rsidRPr="006147AA">
              <w:rPr>
                <w:rFonts w:ascii="Times New Roman" w:hAnsi="Times New Roman"/>
              </w:rPr>
              <w:t>the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practical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and</w:t>
            </w:r>
            <w:proofErr w:type="spellEnd"/>
            <w:r w:rsidRPr="006147AA">
              <w:rPr>
                <w:rFonts w:ascii="Times New Roman" w:hAnsi="Times New Roman"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</w:rPr>
              <w:t>theoretical</w:t>
            </w:r>
            <w:proofErr w:type="spellEnd"/>
            <w:r w:rsidRPr="006147AA">
              <w:rPr>
                <w:rFonts w:ascii="Times New Roman" w:hAnsi="Times New Roman"/>
              </w:rPr>
              <w:t xml:space="preserve"> training of </w:t>
            </w:r>
            <w:proofErr w:type="spellStart"/>
            <w:r w:rsidRPr="006147AA">
              <w:rPr>
                <w:rFonts w:ascii="Times New Roman" w:hAnsi="Times New Roman"/>
              </w:rPr>
              <w:t>students</w:t>
            </w:r>
            <w:proofErr w:type="spellEnd"/>
            <w:r w:rsidRPr="006147AA">
              <w:rPr>
                <w:rFonts w:ascii="Times New Roman" w:hAnsi="Times New Roman"/>
              </w:rPr>
              <w:t>.</w:t>
            </w:r>
          </w:p>
        </w:tc>
      </w:tr>
      <w:tr w:rsidR="00B21D9B" w:rsidRPr="00742E51" w14:paraId="2002FA3A" w14:textId="77777777" w:rsidTr="00B21D9B">
        <w:trPr>
          <w:gridAfter w:val="1"/>
        </w:trPr>
        <w:tc>
          <w:tcPr>
            <w:tcW w:w="2287" w:type="dxa"/>
          </w:tcPr>
          <w:p w14:paraId="39931D76" w14:textId="4C529878" w:rsidR="00B21D9B" w:rsidRPr="00742E51" w:rsidRDefault="006147AA" w:rsidP="00B21D9B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6147AA">
              <w:rPr>
                <w:rFonts w:ascii="Times New Roman" w:hAnsi="Times New Roman"/>
                <w:b/>
              </w:rPr>
              <w:lastRenderedPageBreak/>
              <w:t>Topic</w:t>
            </w:r>
            <w:r>
              <w:rPr>
                <w:rFonts w:ascii="Times New Roman" w:hAnsi="Times New Roman"/>
                <w:b/>
              </w:rPr>
              <w:t>s</w:t>
            </w:r>
            <w:proofErr w:type="spellEnd"/>
            <w:r w:rsidRPr="006147AA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6147AA">
              <w:rPr>
                <w:rFonts w:ascii="Times New Roman" w:hAnsi="Times New Roman"/>
                <w:b/>
              </w:rPr>
              <w:t>the</w:t>
            </w:r>
            <w:proofErr w:type="spellEnd"/>
            <w:r w:rsidRPr="006147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47AA">
              <w:rPr>
                <w:rFonts w:ascii="Times New Roman" w:hAnsi="Times New Roman"/>
                <w:b/>
              </w:rPr>
              <w:t>exam</w:t>
            </w:r>
            <w:proofErr w:type="spellEnd"/>
          </w:p>
        </w:tc>
        <w:tc>
          <w:tcPr>
            <w:tcW w:w="7057" w:type="dxa"/>
          </w:tcPr>
          <w:p w14:paraId="01FB7685" w14:textId="7B6E6CB7" w:rsidR="00B21D9B" w:rsidRPr="00687C13" w:rsidRDefault="00B21D9B" w:rsidP="00B21D9B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  <w:u w:val="single"/>
              </w:rPr>
            </w:pPr>
            <w:proofErr w:type="spellStart"/>
            <w:r w:rsidRPr="00687C13">
              <w:rPr>
                <w:rFonts w:ascii="Times New Roman" w:hAnsi="Times New Roman"/>
                <w:b/>
                <w:spacing w:val="-4"/>
                <w:u w:val="single"/>
              </w:rPr>
              <w:t>T</w:t>
            </w:r>
            <w:r w:rsidR="006147AA">
              <w:rPr>
                <w:rFonts w:ascii="Times New Roman" w:hAnsi="Times New Roman"/>
                <w:b/>
                <w:spacing w:val="-4"/>
                <w:u w:val="single"/>
              </w:rPr>
              <w:t>opics</w:t>
            </w:r>
            <w:proofErr w:type="spellEnd"/>
          </w:p>
          <w:p w14:paraId="0624C840" w14:textId="77777777" w:rsidR="00FA33BD" w:rsidRPr="00FA33BD" w:rsidRDefault="00FA33BD" w:rsidP="00FA33BD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</w:rPr>
            </w:pPr>
            <w:r w:rsidRPr="00FA33BD">
              <w:rPr>
                <w:rFonts w:ascii="Times New Roman" w:hAnsi="Times New Roman"/>
                <w:b/>
                <w:spacing w:val="-4"/>
              </w:rPr>
              <w:t xml:space="preserve">1. The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morphology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vine.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Morphological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elements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grapevine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their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importance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(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root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stem,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woody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elements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resulting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from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cuttings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buds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eyes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shoot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inflorescence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flower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grapes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berries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)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within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viticulture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ecological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system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>.</w:t>
            </w:r>
          </w:p>
          <w:p w14:paraId="4C22FDD1" w14:textId="75F39720" w:rsidR="00FA33BD" w:rsidRPr="00FA33BD" w:rsidRDefault="00FA33BD" w:rsidP="00FA33BD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</w:rPr>
            </w:pPr>
            <w:r w:rsidRPr="00FA33BD">
              <w:rPr>
                <w:rFonts w:ascii="Times New Roman" w:hAnsi="Times New Roman"/>
                <w:b/>
                <w:spacing w:val="-4"/>
              </w:rPr>
              <w:t xml:space="preserve">2.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Elements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of </w:t>
            </w:r>
            <w:r>
              <w:rPr>
                <w:rFonts w:ascii="Times New Roman" w:hAnsi="Times New Roman"/>
                <w:b/>
                <w:spacing w:val="-4"/>
              </w:rPr>
              <w:t>v</w:t>
            </w:r>
            <w:r w:rsidRPr="00FA33BD">
              <w:rPr>
                <w:rFonts w:ascii="Times New Roman" w:hAnsi="Times New Roman"/>
                <w:b/>
                <w:spacing w:val="-4"/>
              </w:rPr>
              <w:t xml:space="preserve">ine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zoning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Elements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world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statistics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in Romania. </w:t>
            </w:r>
            <w:r w:rsidRPr="00FA33BD">
              <w:rPr>
                <w:rFonts w:ascii="Times New Roman" w:hAnsi="Times New Roman"/>
                <w:bCs/>
                <w:spacing w:val="-4"/>
              </w:rPr>
              <w:t>Vine-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growing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area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</w:rPr>
              <w:t>v</w:t>
            </w:r>
            <w:r w:rsidRPr="00FA33BD">
              <w:rPr>
                <w:rFonts w:ascii="Times New Roman" w:hAnsi="Times New Roman"/>
                <w:bCs/>
                <w:spacing w:val="-4"/>
              </w:rPr>
              <w:t>ine-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growing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region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vineyard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</w:rPr>
              <w:t>v</w:t>
            </w:r>
            <w:r w:rsidRPr="00FA33BD">
              <w:rPr>
                <w:rFonts w:ascii="Times New Roman" w:hAnsi="Times New Roman"/>
                <w:bCs/>
                <w:spacing w:val="-4"/>
              </w:rPr>
              <w:t>ine-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growing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center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Climatic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characteristics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specific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to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</w:rPr>
              <w:t>v</w:t>
            </w:r>
            <w:r w:rsidRPr="00FA33BD">
              <w:rPr>
                <w:rFonts w:ascii="Times New Roman" w:hAnsi="Times New Roman"/>
                <w:bCs/>
                <w:spacing w:val="-4"/>
              </w:rPr>
              <w:t>ine-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growing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regions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Romania.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Admitted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grape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varieties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production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directions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>.</w:t>
            </w:r>
          </w:p>
          <w:p w14:paraId="2DB06526" w14:textId="77777777" w:rsidR="00FA33BD" w:rsidRDefault="00FA33BD" w:rsidP="00FA33BD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</w:rPr>
            </w:pPr>
            <w:r w:rsidRPr="00FA33BD">
              <w:rPr>
                <w:rFonts w:ascii="Times New Roman" w:hAnsi="Times New Roman"/>
                <w:b/>
                <w:spacing w:val="-4"/>
              </w:rPr>
              <w:t xml:space="preserve">3.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Biotope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factors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within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ecological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viticultural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ecosystem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. </w:t>
            </w:r>
            <w:r w:rsidRPr="00FA33BD">
              <w:rPr>
                <w:rFonts w:ascii="Times New Roman" w:hAnsi="Times New Roman"/>
                <w:bCs/>
                <w:spacing w:val="-4"/>
              </w:rPr>
              <w:t xml:space="preserve">Climatic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factors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(solar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radiation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light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temperature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air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humidity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air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accidental climatic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factors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).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factors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(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genetic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type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useful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volume,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texture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structure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porosity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humidity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chemical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properties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– content in humus, in macro-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microelements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soluble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salts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soil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reaction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).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Orographic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factors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(relief,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terrain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exposure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slope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altitude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).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Secondary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biotope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factors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>.</w:t>
            </w:r>
          </w:p>
          <w:p w14:paraId="60EC497C" w14:textId="27C71547" w:rsidR="00FA33BD" w:rsidRPr="00FA33BD" w:rsidRDefault="00FA33BD" w:rsidP="00FA33BD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</w:rPr>
            </w:pPr>
            <w:r w:rsidRPr="00FA33BD">
              <w:rPr>
                <w:rFonts w:ascii="Times New Roman" w:hAnsi="Times New Roman"/>
                <w:b/>
                <w:spacing w:val="-4"/>
              </w:rPr>
              <w:t xml:space="preserve">4. Must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processing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technology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Assembly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blending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musts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Deburring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must.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Treatments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applied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to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must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before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Composition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corrections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applied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to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must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Correction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sugar content of must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adding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concentrated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must,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adding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food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sugar,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partial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concentration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Increasing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decreasing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acidity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must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>.</w:t>
            </w:r>
          </w:p>
          <w:p w14:paraId="63CC01AC" w14:textId="77777777" w:rsidR="00FA33BD" w:rsidRPr="00FA33BD" w:rsidRDefault="00FA33BD" w:rsidP="00FA33BD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</w:rPr>
            </w:pPr>
            <w:r w:rsidRPr="00FA33BD">
              <w:rPr>
                <w:rFonts w:ascii="Times New Roman" w:hAnsi="Times New Roman"/>
                <w:b/>
                <w:spacing w:val="-4"/>
              </w:rPr>
              <w:t xml:space="preserve">5.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production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technology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Alcoholic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must.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Filling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vessels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with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must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equipping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them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Development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phases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alcoholic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Spontaneous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Induced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Technological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variants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must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supervision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management.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must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continuous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flow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production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technology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technology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obtaining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white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-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technology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red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production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static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vessels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dynamic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vessels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(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rotating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tanks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)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continuous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flow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Carbonic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Red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vinification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by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thermal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maceration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>.</w:t>
            </w:r>
          </w:p>
          <w:p w14:paraId="1F91CA70" w14:textId="24690558" w:rsidR="00FB01F9" w:rsidRDefault="00FA33BD" w:rsidP="00FA33BD">
            <w:pPr>
              <w:pStyle w:val="Frspaiere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FA33BD">
              <w:rPr>
                <w:rFonts w:ascii="Times New Roman" w:hAnsi="Times New Roman"/>
                <w:b/>
                <w:spacing w:val="-4"/>
              </w:rPr>
              <w:t xml:space="preserve">6. The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evolution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development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phases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/>
                <w:spacing w:val="-4"/>
              </w:rPr>
              <w:t>wines</w:t>
            </w:r>
            <w:proofErr w:type="spellEnd"/>
            <w:r w:rsidRPr="00FA33BD">
              <w:rPr>
                <w:rFonts w:ascii="Times New Roman" w:hAnsi="Times New Roman"/>
                <w:b/>
                <w:spacing w:val="-4"/>
              </w:rPr>
              <w:t xml:space="preserve">. </w:t>
            </w:r>
            <w:r w:rsidRPr="00FA33BD">
              <w:rPr>
                <w:rFonts w:ascii="Times New Roman" w:hAnsi="Times New Roman"/>
                <w:bCs/>
                <w:spacing w:val="-4"/>
              </w:rPr>
              <w:t xml:space="preserve">The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evolution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development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phases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The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fermentation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phase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and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formation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phase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The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maturation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phase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The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main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processes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that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take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place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during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maturation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Fast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aging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processes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Maturation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in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small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oak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barrels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The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aging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phase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. The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degradation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phase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of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the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bCs/>
                <w:spacing w:val="-4"/>
              </w:rPr>
              <w:t>wine</w:t>
            </w:r>
            <w:proofErr w:type="spellEnd"/>
            <w:r w:rsidRPr="00FA33BD">
              <w:rPr>
                <w:rFonts w:ascii="Times New Roman" w:hAnsi="Times New Roman"/>
                <w:bCs/>
                <w:spacing w:val="-4"/>
              </w:rPr>
              <w:t>.</w:t>
            </w:r>
          </w:p>
          <w:p w14:paraId="25C593E2" w14:textId="77777777" w:rsidR="00FA33BD" w:rsidRDefault="00FA33BD" w:rsidP="00FA33BD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</w:rPr>
            </w:pPr>
          </w:p>
          <w:p w14:paraId="29F4842E" w14:textId="39B285F4" w:rsidR="00B21D9B" w:rsidRPr="00687C13" w:rsidRDefault="00B21D9B" w:rsidP="00FB01F9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  <w:u w:val="single"/>
              </w:rPr>
            </w:pPr>
            <w:proofErr w:type="spellStart"/>
            <w:r w:rsidRPr="00687C13">
              <w:rPr>
                <w:rFonts w:ascii="Times New Roman" w:hAnsi="Times New Roman"/>
                <w:b/>
                <w:spacing w:val="-4"/>
                <w:u w:val="single"/>
              </w:rPr>
              <w:t>Bibliogra</w:t>
            </w:r>
            <w:r w:rsidR="00FA33BD">
              <w:rPr>
                <w:rFonts w:ascii="Times New Roman" w:hAnsi="Times New Roman"/>
                <w:b/>
                <w:spacing w:val="-4"/>
                <w:u w:val="single"/>
              </w:rPr>
              <w:t>phy</w:t>
            </w:r>
            <w:proofErr w:type="spellEnd"/>
          </w:p>
          <w:p w14:paraId="247F9DA6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687C13">
              <w:rPr>
                <w:rFonts w:ascii="Times New Roman" w:hAnsi="Times New Roman"/>
                <w:spacing w:val="-4"/>
              </w:rPr>
              <w:t>Bernaz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Gh., Dejeu L., 2006 - Fertilizarea viilor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întreţinerea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solului în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concepţie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ecologică. Editura Ceres,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Bucureşti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.</w:t>
            </w:r>
          </w:p>
          <w:p w14:paraId="4ECFA0FA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r w:rsidRPr="00687C13">
              <w:rPr>
                <w:rFonts w:ascii="Times New Roman" w:hAnsi="Times New Roman"/>
                <w:spacing w:val="-4"/>
              </w:rPr>
              <w:t xml:space="preserve">Colibaba Cintia, Luchian Camelia, Rotaru Liliana, 2015, Managementul sistemelor viticole ecologice, ISBN 978-973- 147-192-1, Editura Ion Ionescu de la Brad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Iaşi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.</w:t>
            </w:r>
          </w:p>
          <w:p w14:paraId="0E5F6F17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r w:rsidRPr="00687C13">
              <w:rPr>
                <w:rFonts w:ascii="Times New Roman" w:hAnsi="Times New Roman"/>
                <w:spacing w:val="-4"/>
              </w:rPr>
              <w:t xml:space="preserve">Cotea, V.D.,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Zanoaga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V.C., Cotea, V.V. - Tratat de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Oenochimie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, vol. I, vol. II, Editura Academiei Române, București, 2009.</w:t>
            </w:r>
          </w:p>
          <w:p w14:paraId="7E3577C7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r w:rsidRPr="00687C13">
              <w:rPr>
                <w:rFonts w:ascii="Times New Roman" w:hAnsi="Times New Roman"/>
                <w:spacing w:val="-4"/>
              </w:rPr>
              <w:t>Cotea, V.V., Cotea V.D. - Tehnologii de producere a vinurilor, Editura Academiei Române, București, 2006.</w:t>
            </w:r>
          </w:p>
          <w:p w14:paraId="644116DC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r w:rsidRPr="00687C13">
              <w:rPr>
                <w:rFonts w:ascii="Times New Roman" w:hAnsi="Times New Roman"/>
                <w:spacing w:val="-4"/>
              </w:rPr>
              <w:t xml:space="preserve">Cotea, V.V.,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Zanoaga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V.C., Cotea V.D. – Oenologie. Construcții, vase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utilaje vinicole, Editura Academiei Române, București, 2010.</w:t>
            </w:r>
          </w:p>
          <w:p w14:paraId="79019CEB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r w:rsidRPr="00687C13">
              <w:rPr>
                <w:rFonts w:ascii="Times New Roman" w:hAnsi="Times New Roman"/>
                <w:spacing w:val="-4"/>
              </w:rPr>
              <w:lastRenderedPageBreak/>
              <w:t xml:space="preserve">Dobrei Alin, Rotaru Liliana, Mustea Mihai, 2005 – Cultura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viţei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de vie. Editura “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Solness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”,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Timişoara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, ISBN 973-729-031-3.</w:t>
            </w:r>
          </w:p>
          <w:p w14:paraId="4DEDE06D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687C13">
              <w:rPr>
                <w:rFonts w:ascii="Times New Roman" w:hAnsi="Times New Roman"/>
                <w:spacing w:val="-4"/>
              </w:rPr>
              <w:t>Ducasse-Counarc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Anne-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Marie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2000 – La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qualite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des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produits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de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l’agriculture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biologique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. Edit.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Deux-Ponts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, Paris-France.</w:t>
            </w:r>
          </w:p>
          <w:p w14:paraId="39C79595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687C13">
              <w:rPr>
                <w:rFonts w:ascii="Times New Roman" w:hAnsi="Times New Roman"/>
                <w:spacing w:val="-4"/>
              </w:rPr>
              <w:t>Pomohaci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N., Cotea, V.V., Stoian, V.,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Nămoloşanu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I., Popa, A.,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Sîrghi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C.,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Antoce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Arina -Oenologie. Volumul 2: Îngrijirea, stabilizarea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îmbutelierea vinurilor. Construcții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echipamente vinicole, Editura Ceres, București, 2001.</w:t>
            </w:r>
          </w:p>
          <w:p w14:paraId="38C242C1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687C13">
              <w:rPr>
                <w:rFonts w:ascii="Times New Roman" w:hAnsi="Times New Roman"/>
                <w:spacing w:val="-4"/>
              </w:rPr>
              <w:t>Pomohaci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N.,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Gheorghiţă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M.,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Iuoraş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R., Stoian, V., Cotrău, A., Cotea, V.V.,- Oenologie, Editura Didactică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Pedagogică,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Bucureşti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, 1990.</w:t>
            </w:r>
          </w:p>
          <w:p w14:paraId="0F87C6D9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687C13">
              <w:rPr>
                <w:rFonts w:ascii="Times New Roman" w:hAnsi="Times New Roman"/>
                <w:spacing w:val="-4"/>
              </w:rPr>
              <w:t>Pomohaci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N., Stoian, V., Gheorghița, M.,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Sîrghi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C., Cotea, V.V.,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Nămoloşanu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I. - Oenologie. Volumul 1: Prelucrarea strugurilor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producerea vinurilor. Editura Ceres, București, 2000.</w:t>
            </w:r>
          </w:p>
          <w:p w14:paraId="66E4396A" w14:textId="77777777" w:rsidR="00B21D9B" w:rsidRPr="00687C13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687C13">
              <w:rPr>
                <w:rFonts w:ascii="Times New Roman" w:hAnsi="Times New Roman"/>
                <w:spacing w:val="-4"/>
              </w:rPr>
              <w:t>Rochard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Joel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2005 -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Traite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de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viticulture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et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d’oenologie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durable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. Edit.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Oenoplurimedia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Chaintre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-France.</w:t>
            </w:r>
          </w:p>
          <w:p w14:paraId="160B6AD4" w14:textId="77777777" w:rsidR="00B21D9B" w:rsidRPr="00B21D9B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687C13">
              <w:rPr>
                <w:rFonts w:ascii="Times New Roman" w:hAnsi="Times New Roman"/>
                <w:spacing w:val="-4"/>
              </w:rPr>
              <w:t xml:space="preserve">Rotaru Liliana,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Jitareanu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Carmenica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Doina,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Slabu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Cristina, Cotea V. V., Mustea M., Marta Alina Elena, Colibaba Lucia Cintia, 2013, Adaptarea tehnologiilor viticole în contextual schimbărilor climatice, Editura Ion Ionescu de la Brad,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Iasi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, ISBN 978-973- 147-134-1</w:t>
            </w:r>
          </w:p>
          <w:p w14:paraId="2204195D" w14:textId="75CA3B68" w:rsidR="00B21D9B" w:rsidRPr="006472CC" w:rsidRDefault="00B21D9B" w:rsidP="00B21D9B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687C13">
              <w:rPr>
                <w:rFonts w:ascii="Times New Roman" w:hAnsi="Times New Roman"/>
                <w:spacing w:val="-4"/>
              </w:rPr>
              <w:t xml:space="preserve">Rotaru Liliana, Vasile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Ancuţa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, Nechita Bogdan,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Niculaua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Marius, Colibaba Cintia, 2011 – Modernizarea tehnologiei de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obţinere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 xml:space="preserve"> valorificare a strugurilor de masă prin implementarea sistemului european de calitate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Eurepgap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.</w:t>
            </w:r>
            <w:r w:rsidR="00FA33BD">
              <w:rPr>
                <w:rFonts w:ascii="Times New Roman" w:hAnsi="Times New Roman"/>
                <w:spacing w:val="-4"/>
              </w:rPr>
              <w:t xml:space="preserve"> </w:t>
            </w:r>
            <w:r w:rsidRPr="00687C13">
              <w:rPr>
                <w:rFonts w:ascii="Times New Roman" w:hAnsi="Times New Roman"/>
                <w:spacing w:val="-4"/>
              </w:rPr>
              <w:t xml:space="preserve">Editura Ion Ionescu de la Brad, </w:t>
            </w:r>
            <w:proofErr w:type="spellStart"/>
            <w:r w:rsidRPr="00687C13">
              <w:rPr>
                <w:rFonts w:ascii="Times New Roman" w:hAnsi="Times New Roman"/>
                <w:spacing w:val="-4"/>
              </w:rPr>
              <w:t>Iaşi</w:t>
            </w:r>
            <w:proofErr w:type="spellEnd"/>
            <w:r w:rsidRPr="00687C13">
              <w:rPr>
                <w:rFonts w:ascii="Times New Roman" w:hAnsi="Times New Roman"/>
                <w:spacing w:val="-4"/>
              </w:rPr>
              <w:t>, ISBN 978-973- 147-090-0.</w:t>
            </w:r>
          </w:p>
          <w:p w14:paraId="19AE7C33" w14:textId="77777777" w:rsidR="006472CC" w:rsidRDefault="00A41334" w:rsidP="00A41334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A41334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olibaba Cintia</w:t>
            </w:r>
            <w:r w:rsidRPr="00A41334">
              <w:rPr>
                <w:rFonts w:ascii="Times New Roman" w:hAnsi="Times New Roman"/>
              </w:rPr>
              <w:t xml:space="preserve">, 2018, </w:t>
            </w:r>
            <w:r>
              <w:rPr>
                <w:rFonts w:ascii="Times New Roman" w:hAnsi="Times New Roman"/>
              </w:rPr>
              <w:t>Ghid de laborator</w:t>
            </w:r>
            <w:r w:rsidRPr="00A413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A413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Managementul sistemelor viticole ecologice</w:t>
            </w:r>
            <w:r w:rsidRPr="00A4133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Editura </w:t>
            </w:r>
            <w:proofErr w:type="spellStart"/>
            <w:r w:rsidRPr="00A41334">
              <w:rPr>
                <w:rFonts w:ascii="Times New Roman" w:hAnsi="Times New Roman"/>
              </w:rPr>
              <w:t>Stef</w:t>
            </w:r>
            <w:proofErr w:type="spellEnd"/>
            <w:r w:rsidRPr="00A41334">
              <w:rPr>
                <w:rFonts w:ascii="Times New Roman" w:hAnsi="Times New Roman"/>
              </w:rPr>
              <w:t>, ISSN 978-606-575-956-5.</w:t>
            </w:r>
          </w:p>
          <w:p w14:paraId="51A0B9BB" w14:textId="7D4E01CF" w:rsidR="00A41334" w:rsidRPr="00A41334" w:rsidRDefault="00A41334" w:rsidP="00A41334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A41334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uchian</w:t>
            </w:r>
            <w:r w:rsidRPr="00A41334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amelia</w:t>
            </w:r>
            <w:r w:rsidRPr="00A41334">
              <w:rPr>
                <w:rFonts w:ascii="Times New Roman" w:hAnsi="Times New Roman"/>
              </w:rPr>
              <w:t>, C</w:t>
            </w:r>
            <w:r>
              <w:rPr>
                <w:rFonts w:ascii="Times New Roman" w:hAnsi="Times New Roman"/>
              </w:rPr>
              <w:t>otea</w:t>
            </w:r>
            <w:r w:rsidRPr="00A41334">
              <w:rPr>
                <w:rFonts w:ascii="Times New Roman" w:hAnsi="Times New Roman"/>
              </w:rPr>
              <w:t xml:space="preserve"> V. V</w:t>
            </w:r>
            <w:r>
              <w:rPr>
                <w:rFonts w:ascii="Times New Roman" w:hAnsi="Times New Roman"/>
              </w:rPr>
              <w:t>aleriu</w:t>
            </w:r>
            <w:r w:rsidRPr="00A41334">
              <w:rPr>
                <w:rFonts w:ascii="Times New Roman" w:hAnsi="Times New Roman"/>
              </w:rPr>
              <w:t xml:space="preserve">, </w:t>
            </w:r>
            <w:proofErr w:type="spellStart"/>
            <w:r w:rsidRPr="00A41334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cutărașu</w:t>
            </w:r>
            <w:proofErr w:type="spellEnd"/>
            <w:r w:rsidRPr="00A41334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ristina</w:t>
            </w:r>
            <w:r w:rsidRPr="00A41334">
              <w:rPr>
                <w:rFonts w:ascii="Times New Roman" w:hAnsi="Times New Roman"/>
              </w:rPr>
              <w:t xml:space="preserve">, </w:t>
            </w:r>
            <w:proofErr w:type="spellStart"/>
            <w:r w:rsidRPr="00A41334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olibaba</w:t>
            </w:r>
            <w:proofErr w:type="spellEnd"/>
            <w:r w:rsidRPr="00A41334">
              <w:rPr>
                <w:rFonts w:ascii="Times New Roman" w:hAnsi="Times New Roman"/>
              </w:rPr>
              <w:t xml:space="preserve"> </w:t>
            </w:r>
            <w:proofErr w:type="spellStart"/>
            <w:r w:rsidRPr="00A41334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intia</w:t>
            </w:r>
            <w:proofErr w:type="spellEnd"/>
            <w:r w:rsidRPr="00A41334">
              <w:rPr>
                <w:rFonts w:ascii="Times New Roman" w:hAnsi="Times New Roman"/>
              </w:rPr>
              <w:t>, 2021, Metode și tehnici de analiză a calității băuturilor, E</w:t>
            </w:r>
            <w:r>
              <w:rPr>
                <w:rFonts w:ascii="Times New Roman" w:hAnsi="Times New Roman"/>
              </w:rPr>
              <w:t>d.</w:t>
            </w:r>
            <w:r w:rsidRPr="00A41334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>on</w:t>
            </w:r>
            <w:r w:rsidRPr="00A41334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>onescu</w:t>
            </w:r>
            <w:r w:rsidRPr="00A413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de la</w:t>
            </w:r>
            <w:r w:rsidRPr="00A41334">
              <w:rPr>
                <w:rFonts w:ascii="Times New Roman" w:hAnsi="Times New Roman"/>
              </w:rPr>
              <w:t xml:space="preserve"> B</w:t>
            </w:r>
            <w:r>
              <w:rPr>
                <w:rFonts w:ascii="Times New Roman" w:hAnsi="Times New Roman"/>
              </w:rPr>
              <w:t>rad</w:t>
            </w:r>
            <w:r w:rsidRPr="00A41334">
              <w:rPr>
                <w:rFonts w:ascii="Times New Roman" w:hAnsi="Times New Roman"/>
              </w:rPr>
              <w:t xml:space="preserve">, </w:t>
            </w:r>
            <w:proofErr w:type="spellStart"/>
            <w:r w:rsidRPr="00A41334">
              <w:rPr>
                <w:rFonts w:ascii="Times New Roman" w:hAnsi="Times New Roman"/>
              </w:rPr>
              <w:t>Iasi</w:t>
            </w:r>
            <w:proofErr w:type="spellEnd"/>
            <w:r w:rsidRPr="00A41334">
              <w:rPr>
                <w:rFonts w:ascii="Times New Roman" w:hAnsi="Times New Roman"/>
              </w:rPr>
              <w:t>, ISBN 978-973-147-372-7</w:t>
            </w:r>
          </w:p>
          <w:p w14:paraId="6714B224" w14:textId="6A5584C7" w:rsidR="00A41334" w:rsidRPr="00044773" w:rsidRDefault="00A41334" w:rsidP="00A41334">
            <w:pPr>
              <w:pStyle w:val="Frspaier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A41334">
              <w:rPr>
                <w:rFonts w:ascii="Times New Roman" w:hAnsi="Times New Roman"/>
              </w:rPr>
              <w:t xml:space="preserve">Irimia Liviu Mihai – Coordonator, Autori Irimia Liviu Mihai, Stoleru Vasile, Chelariu Elena Liliana, Filimon Răzvan Vasile, Mustea Mihai, Stan Teodor, Apostol Maria, </w:t>
            </w:r>
            <w:proofErr w:type="spellStart"/>
            <w:r w:rsidRPr="00A41334">
              <w:rPr>
                <w:rFonts w:ascii="Times New Roman" w:hAnsi="Times New Roman"/>
              </w:rPr>
              <w:t>Bernardis</w:t>
            </w:r>
            <w:proofErr w:type="spellEnd"/>
            <w:r w:rsidRPr="00A41334">
              <w:rPr>
                <w:rFonts w:ascii="Times New Roman" w:hAnsi="Times New Roman"/>
              </w:rPr>
              <w:t xml:space="preserve"> Roberto, </w:t>
            </w:r>
            <w:proofErr w:type="spellStart"/>
            <w:r w:rsidRPr="00A41334">
              <w:rPr>
                <w:rFonts w:ascii="Times New Roman" w:hAnsi="Times New Roman"/>
              </w:rPr>
              <w:t>Colibaba</w:t>
            </w:r>
            <w:proofErr w:type="spellEnd"/>
            <w:r w:rsidRPr="00A41334">
              <w:rPr>
                <w:rFonts w:ascii="Times New Roman" w:hAnsi="Times New Roman"/>
              </w:rPr>
              <w:t xml:space="preserve"> </w:t>
            </w:r>
            <w:proofErr w:type="spellStart"/>
            <w:r w:rsidRPr="00A41334">
              <w:rPr>
                <w:rFonts w:ascii="Times New Roman" w:hAnsi="Times New Roman"/>
              </w:rPr>
              <w:t>Cintia</w:t>
            </w:r>
            <w:proofErr w:type="spellEnd"/>
            <w:r w:rsidRPr="00A41334">
              <w:rPr>
                <w:rFonts w:ascii="Times New Roman" w:hAnsi="Times New Roman"/>
              </w:rPr>
              <w:t xml:space="preserve"> Lucia, Dascălu Marius, </w:t>
            </w:r>
            <w:proofErr w:type="spellStart"/>
            <w:r w:rsidRPr="00A41334">
              <w:rPr>
                <w:rFonts w:ascii="Times New Roman" w:hAnsi="Times New Roman"/>
              </w:rPr>
              <w:t>Teliban</w:t>
            </w:r>
            <w:proofErr w:type="spellEnd"/>
            <w:r w:rsidRPr="00A41334">
              <w:rPr>
                <w:rFonts w:ascii="Times New Roman" w:hAnsi="Times New Roman"/>
              </w:rPr>
              <w:t xml:space="preserve"> Gabriel-Ciprian, </w:t>
            </w:r>
            <w:proofErr w:type="spellStart"/>
            <w:r w:rsidRPr="00A41334">
              <w:rPr>
                <w:rFonts w:ascii="Times New Roman" w:hAnsi="Times New Roman"/>
              </w:rPr>
              <w:t>Zlati</w:t>
            </w:r>
            <w:proofErr w:type="spellEnd"/>
            <w:r w:rsidRPr="00A41334">
              <w:rPr>
                <w:rFonts w:ascii="Times New Roman" w:hAnsi="Times New Roman"/>
              </w:rPr>
              <w:t xml:space="preserve"> Cristina, Cojocaru Alexandru, </w:t>
            </w:r>
            <w:proofErr w:type="spellStart"/>
            <w:r w:rsidRPr="00A41334">
              <w:rPr>
                <w:rFonts w:ascii="Times New Roman" w:hAnsi="Times New Roman"/>
              </w:rPr>
              <w:t>Hrițu</w:t>
            </w:r>
            <w:proofErr w:type="spellEnd"/>
            <w:r w:rsidRPr="00A41334">
              <w:rPr>
                <w:rFonts w:ascii="Times New Roman" w:hAnsi="Times New Roman"/>
              </w:rPr>
              <w:t xml:space="preserve"> Adriana,</w:t>
            </w:r>
            <w:r w:rsidR="006C3CD3">
              <w:rPr>
                <w:rFonts w:ascii="Times New Roman" w:hAnsi="Times New Roman"/>
              </w:rPr>
              <w:t xml:space="preserve"> </w:t>
            </w:r>
            <w:proofErr w:type="spellStart"/>
            <w:r w:rsidRPr="00A41334">
              <w:rPr>
                <w:rFonts w:ascii="Times New Roman" w:hAnsi="Times New Roman"/>
              </w:rPr>
              <w:t>Popîrdă</w:t>
            </w:r>
            <w:proofErr w:type="spellEnd"/>
            <w:r w:rsidRPr="00A41334">
              <w:rPr>
                <w:rFonts w:ascii="Times New Roman" w:hAnsi="Times New Roman"/>
              </w:rPr>
              <w:t xml:space="preserve"> Andreea, 2021 - Manual de practică – Specializarea Horticultură, vol. II, Edit. "Ion Ionescu de la Brad", Iași, ISBN 978-973-147-408-3.</w:t>
            </w:r>
          </w:p>
        </w:tc>
      </w:tr>
      <w:tr w:rsidR="00B21D9B" w:rsidRPr="00632F22" w14:paraId="33C0BF08" w14:textId="77777777" w:rsidTr="00B21D9B">
        <w:trPr>
          <w:gridAfter w:val="1"/>
        </w:trPr>
        <w:tc>
          <w:tcPr>
            <w:tcW w:w="2287" w:type="dxa"/>
          </w:tcPr>
          <w:p w14:paraId="2D46532C" w14:textId="49F3B368" w:rsidR="00B21D9B" w:rsidRPr="00632F22" w:rsidRDefault="00FA33BD" w:rsidP="00B21D9B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FA33BD">
              <w:rPr>
                <w:rFonts w:ascii="Times New Roman" w:hAnsi="Times New Roman"/>
                <w:b/>
                <w:color w:val="000000" w:themeColor="text1"/>
              </w:rPr>
              <w:lastRenderedPageBreak/>
              <w:t>Salary</w:t>
            </w:r>
            <w:proofErr w:type="spellEnd"/>
          </w:p>
        </w:tc>
        <w:tc>
          <w:tcPr>
            <w:tcW w:w="7057" w:type="dxa"/>
          </w:tcPr>
          <w:p w14:paraId="7DF17920" w14:textId="3D9AC6D2" w:rsidR="00B21D9B" w:rsidRPr="00632F22" w:rsidRDefault="00FA33BD" w:rsidP="00B21D9B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FA33BD">
              <w:rPr>
                <w:rFonts w:ascii="Times New Roman" w:hAnsi="Times New Roman"/>
                <w:color w:val="000000" w:themeColor="text1"/>
              </w:rPr>
              <w:t xml:space="preserve">The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position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assistant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professor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will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be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paid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according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to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Law 153/2017,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with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A33BD">
              <w:rPr>
                <w:rFonts w:ascii="Times New Roman" w:hAnsi="Times New Roman"/>
                <w:color w:val="000000" w:themeColor="text1"/>
              </w:rPr>
              <w:t>amount</w:t>
            </w:r>
            <w:proofErr w:type="spellEnd"/>
            <w:r w:rsidRPr="00FA33BD">
              <w:rPr>
                <w:rFonts w:ascii="Times New Roman" w:hAnsi="Times New Roman"/>
                <w:color w:val="000000" w:themeColor="text1"/>
              </w:rPr>
              <w:t xml:space="preserve"> of 7974 lei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bookmarkEnd w:id="0"/>
    </w:tbl>
    <w:p w14:paraId="22A183EC" w14:textId="77777777" w:rsidR="00156E0E" w:rsidRDefault="00156E0E"/>
    <w:sectPr w:rsidR="00156E0E" w:rsidSect="002A1C82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62AE1"/>
    <w:multiLevelType w:val="hybridMultilevel"/>
    <w:tmpl w:val="48C8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10EF9"/>
    <w:rsid w:val="0003143B"/>
    <w:rsid w:val="00044773"/>
    <w:rsid w:val="00053152"/>
    <w:rsid w:val="0006298C"/>
    <w:rsid w:val="00156E0E"/>
    <w:rsid w:val="00186317"/>
    <w:rsid w:val="001923AE"/>
    <w:rsid w:val="00194D33"/>
    <w:rsid w:val="001D24E0"/>
    <w:rsid w:val="00221178"/>
    <w:rsid w:val="00260760"/>
    <w:rsid w:val="002635EC"/>
    <w:rsid w:val="00270EC6"/>
    <w:rsid w:val="002A1C82"/>
    <w:rsid w:val="002D4D64"/>
    <w:rsid w:val="003454B0"/>
    <w:rsid w:val="00361005"/>
    <w:rsid w:val="0036302D"/>
    <w:rsid w:val="00401814"/>
    <w:rsid w:val="004757A3"/>
    <w:rsid w:val="004C67ED"/>
    <w:rsid w:val="004D1861"/>
    <w:rsid w:val="004F10C1"/>
    <w:rsid w:val="0052187D"/>
    <w:rsid w:val="005B4E35"/>
    <w:rsid w:val="005D6688"/>
    <w:rsid w:val="005E227F"/>
    <w:rsid w:val="005F72C9"/>
    <w:rsid w:val="006147AA"/>
    <w:rsid w:val="00632F22"/>
    <w:rsid w:val="006472CC"/>
    <w:rsid w:val="00665FD3"/>
    <w:rsid w:val="006A0792"/>
    <w:rsid w:val="006C3CD3"/>
    <w:rsid w:val="006D49EA"/>
    <w:rsid w:val="006E0DC4"/>
    <w:rsid w:val="00742E51"/>
    <w:rsid w:val="00756718"/>
    <w:rsid w:val="007B7041"/>
    <w:rsid w:val="007E37B8"/>
    <w:rsid w:val="00811B2F"/>
    <w:rsid w:val="008934EE"/>
    <w:rsid w:val="0089362A"/>
    <w:rsid w:val="008B69E8"/>
    <w:rsid w:val="00913086"/>
    <w:rsid w:val="00932DEB"/>
    <w:rsid w:val="009B7CA2"/>
    <w:rsid w:val="009B7FA6"/>
    <w:rsid w:val="009F501D"/>
    <w:rsid w:val="00A11F42"/>
    <w:rsid w:val="00A41334"/>
    <w:rsid w:val="00A97BD2"/>
    <w:rsid w:val="00AA5E6A"/>
    <w:rsid w:val="00B21D9B"/>
    <w:rsid w:val="00B4484A"/>
    <w:rsid w:val="00BC4ECD"/>
    <w:rsid w:val="00BE7AE0"/>
    <w:rsid w:val="00C4581D"/>
    <w:rsid w:val="00C86D53"/>
    <w:rsid w:val="00C87242"/>
    <w:rsid w:val="00CB731E"/>
    <w:rsid w:val="00CD5072"/>
    <w:rsid w:val="00CF1C1F"/>
    <w:rsid w:val="00DA4192"/>
    <w:rsid w:val="00DB654D"/>
    <w:rsid w:val="00E866DD"/>
    <w:rsid w:val="00E87CA0"/>
    <w:rsid w:val="00F01237"/>
    <w:rsid w:val="00F05F2F"/>
    <w:rsid w:val="00F75EC2"/>
    <w:rsid w:val="00F90108"/>
    <w:rsid w:val="00F91738"/>
    <w:rsid w:val="00FA33BD"/>
    <w:rsid w:val="00FA38D2"/>
    <w:rsid w:val="00F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C1557B25-4DD4-40B3-B9D1-A43B888B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5E2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5E227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deparagrafimplicit"/>
    <w:rsid w:val="005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7</cp:revision>
  <dcterms:created xsi:type="dcterms:W3CDTF">2023-12-07T09:44:00Z</dcterms:created>
  <dcterms:modified xsi:type="dcterms:W3CDTF">2023-12-07T14:26:00Z</dcterms:modified>
</cp:coreProperties>
</file>